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40"/>
        <w:jc w:val="center"/>
      </w:pPr>
      <w:r>
        <w:rPr>
          <w:b/>
          <w:i w:val="0"/>
          <w:color w:val="173B67"/>
          <w:sz w:val="32"/>
        </w:rPr>
        <w:t>BMS5410</w:t>
      </w:r>
    </w:p>
    <w:p>
      <w:pPr>
        <w:spacing w:after="480"/>
        <w:jc w:val="center"/>
      </w:pPr>
      <w:r>
        <w:rPr>
          <w:b/>
          <w:i w:val="0"/>
          <w:color w:val="173B67"/>
          <w:sz w:val="32"/>
        </w:rPr>
        <w:t>Negotiation and Conflict Management</w:t>
      </w:r>
    </w:p>
    <w:p>
      <w:pPr>
        <w:spacing w:after="120"/>
        <w:jc w:val="center"/>
      </w:pPr>
      <w:r>
        <w:rPr>
          <w:b w:val="0"/>
          <w:i w:val="0"/>
          <w:sz w:val="28"/>
        </w:rPr>
        <w:t>Learning Journal</w:t>
      </w:r>
    </w:p>
    <w:p>
      <w:pPr>
        <w:spacing w:after="600"/>
        <w:jc w:val="center"/>
      </w:pPr>
      <w:r>
        <w:rPr>
          <w:b/>
          <w:i w:val="0"/>
          <w:color w:val="173B67"/>
          <w:sz w:val="48"/>
        </w:rPr>
        <w:t>From Price Bargaining to Prepared Adaptability</w:t>
      </w:r>
    </w:p>
    <w:p>
      <w:pPr>
        <w:spacing w:after="40"/>
        <w:jc w:val="center"/>
      </w:pPr>
      <w:r>
        <w:rPr>
          <w:b w:val="0"/>
          <w:i w:val="0"/>
          <w:sz w:val="24"/>
        </w:rPr>
        <w:t>AY2026/2027 Semester 1</w:t>
      </w:r>
    </w:p>
    <w:p>
      <w:pPr>
        <w:spacing w:after="40"/>
        <w:jc w:val="center"/>
      </w:pPr>
      <w:r>
        <w:rPr>
          <w:b w:val="0"/>
          <w:i w:val="0"/>
          <w:sz w:val="24"/>
        </w:rPr>
        <w:t>Instructor: Prof. Chao Ta-Wei</w:t>
      </w:r>
    </w:p>
    <w:p>
      <w:pPr>
        <w:spacing w:after="600"/>
        <w:jc w:val="center"/>
      </w:pPr>
      <w:r>
        <w:rPr>
          <w:b w:val="0"/>
          <w:i w:val="0"/>
          <w:sz w:val="24"/>
        </w:rPr>
        <w:t>National University of Singapore</w:t>
      </w:r>
    </w:p>
    <w:p>
      <w:pPr>
        <w:spacing w:after="480"/>
        <w:jc w:val="center"/>
      </w:pPr>
      <w:r>
        <w:rPr>
          <w:b w:val="0"/>
          <w:i/>
          <w:sz w:val="22"/>
        </w:rPr>
        <w:t>A reflective journal integrating class simulations, course frameworks, historical cases, cross-cultural negotiation, outside reading and a real-world property negotiation application.</w:t>
      </w:r>
    </w:p>
    <w:p>
      <w:pPr>
        <w:jc w:val="center"/>
      </w:pPr>
      <w:r>
        <w:rPr>
          <w:sz w:val="22"/>
        </w:rPr>
        <w:t xml:space="preserve">Companion interactive lab: </w:t>
      </w:r>
      <w:hyperlink r:id="rId9">
        <w:r>
          <w:rPr>
            <w:b/>
            <w:rStyle w:val="Hyperlink"/>
            <w:color w:val="0563C1"/>
            <w:u w:val="single"/>
          </w:rPr>
          <w:t xml:space="preserve">https://www.negotiation.site/</w:t>
        </w:r>
      </w:hyperlink>
    </w:p>
    <w:p>
      <w:pPr>
        <w:spacing w:after="120"/>
        <w:jc w:val="center"/>
      </w:pPr>
      <w:r>
        <w:rPr>
          <w:b w:val="0"/>
          <w:i/>
          <w:color w:val="65758B"/>
          <w:sz w:val="18"/>
        </w:rPr>
        <w:t>Twelve learning modules, the full property simulation and a reflection log – www.negotiation.site</w:t>
      </w:r>
    </w:p>
    <w:p>
      <w:r>
        <w:br w:type="page"/>
      </w:r>
    </w:p>
    <w:p>
      <w:pPr>
        <w:pStyle w:val="Heading1"/>
      </w:pPr>
      <w:r>
        <w:t>Purpose and Learning Approach</w:t>
      </w:r>
    </w:p>
    <w:p>
      <w:r>
        <w:t>This journal records how my understanding of negotiation developed during BMS5410. My starting point was practical but narrow: I tended to ask the price, seek a discount, bargain around the number and look for another deal if the seller would not move sufficiently. I was generally friendly in communication, but my substantive approach was strongly price-focused.</w:t>
      </w:r>
    </w:p>
    <w:p>
      <w:r>
        <w:t xml:space="preserve">The course changed the questions I ask. Instead of seeing negotiation mainly as bargaining at the table, I increasingly see it as a process that begins with preparation: understanding people, motivations, alternatives, objective criteria and the process itself. The syllabus deliberately uses simulations and interactive exercises so that students experience situations first, debrief them and then synthesise the lessons into frameworks (Chao, 2026, BMS5410 Syllabus). This journal follows the same logic. Each Part moves through five beats: </w:t>
      </w:r>
      <w:r>
        <w:rPr>
          <w:b/>
        </w:rPr>
        <w:t>the moment</w:t>
      </w:r>
      <w:r>
        <w:t xml:space="preserve"> (a concrete instinct, exercise or situation), </w:t>
      </w:r>
      <w:r>
        <w:rPr>
          <w:b/>
        </w:rPr>
        <w:t>the concept</w:t>
      </w:r>
      <w:r>
        <w:t xml:space="preserve"> (what the course or my reading offers), </w:t>
      </w:r>
      <w:r>
        <w:rPr>
          <w:b/>
        </w:rPr>
        <w:t>the critical question</w:t>
      </w:r>
      <w:r>
        <w:t xml:space="preserve"> (where the concept is harder or less obvious than it first looks), </w:t>
      </w:r>
      <w:r>
        <w:rPr>
          <w:b/>
        </w:rPr>
        <w:t>the application</w:t>
      </w:r>
      <w:r>
        <w:t xml:space="preserve"> (what I would actually do in my property negotiation) and </w:t>
      </w:r>
      <w:r>
        <w:rPr>
          <w:b/>
        </w:rPr>
        <w:t>the rule</w:t>
      </w:r>
      <w:r>
        <w:t xml:space="preserve"> (a numbered personal rule I can carry forward).</w:t>
      </w:r>
    </w:p>
    <w:p>
      <w:r>
        <w:t>I use a recurring property negotiation as my main real-world application because it exposes many of the course tensions clearly: anchoring, information asymmetry, BATNA, stakeholder mapping, relationship management, concessions, objective criteria and process. The property figures are illustrative unless explicitly described as my own behaviour. I do not invent classroom simulation outcomes that I do not remember, and I do not report scores I did not record. Where I reconstruct a moment from my own habits rather than from a specific dated event, I label it as illustrative.</w:t>
      </w:r>
    </w:p>
    <w:p>
      <w:r>
        <w:t>A second design choice is that this journal has a companion: an interactive property-negotiation lab I built so that the concepts can be tested as decisions, not only described. The journal explains why a move matters; the lab forces a choice and shows what it cost or created.</w:t>
      </w:r>
    </w:p>
    <w:p>
      <w:pPr>
        <w:pStyle w:val="Heading2"/>
      </w:pPr>
      <w:r>
        <w:t>Learning Map</w:t>
      </w:r>
    </w:p>
    <w:p>
      <w:pPr>
        <w:keepNext/>
        <w:spacing w:before="120" w:after="60"/>
      </w:pPr>
      <w:r>
        <w:rPr>
          <w:b/>
          <w:color w:val="173B67"/>
          <w:sz w:val="20"/>
        </w:rPr>
        <w:t>Table 1. Learning map – how my thinking developed across the module</w:t>
      </w:r>
    </w:p>
    <w:tbl>
      <w:tblPr>
        <w:tblStyle w:val="TableGrid"/>
        <w:tblW w:type="auto" w:w="0"/>
        <w:jc w:val="center"/>
        <w:tblLook w:firstColumn="1" w:firstRow="1" w:lastColumn="0" w:lastRow="0" w:noHBand="0" w:noVBand="1" w:val="04A0"/>
        <w:tblLayout w:type="fixed"/>
      </w:tblPr>
      <w:tblGrid>
        <w:gridCol w:w="2441"/>
        <w:gridCol w:w="5466"/>
        <w:gridCol w:w="1120"/>
      </w:tblGrid>
      <w:tr>
        <w:trPr>
          <w:cantSplit/>
          <w:tblHeader w:val="true"/>
        </w:trPr>
        <w:tc>
          <w:tcPr>
            <w:tcW w:type="dxa" w:w="2442"/>
            <w:shd w:val="clear" w:color="auto" w:fill="173B67"/>
          </w:tcPr>
          <w:p>
            <w:pPr>
              <w:spacing w:after="0" w:line="240" w:lineRule="auto"/>
            </w:pPr>
            <w:r>
              <w:rPr>
                <w:b/>
                <w:color w:val="FFFFFF"/>
                <w:sz w:val="18"/>
              </w:rPr>
              <w:t>Stage</w:t>
            </w:r>
          </w:p>
        </w:tc>
        <w:tc>
          <w:tcPr>
            <w:tcW w:type="dxa" w:w="5466"/>
            <w:shd w:val="clear" w:color="auto" w:fill="173B67"/>
          </w:tcPr>
          <w:p>
            <w:pPr>
              <w:spacing w:after="0" w:line="240" w:lineRule="auto"/>
            </w:pPr>
            <w:r>
              <w:rPr>
                <w:b/>
                <w:color w:val="FFFFFF"/>
                <w:sz w:val="18"/>
              </w:rPr>
              <w:t>Development in my thinking</w:t>
            </w:r>
          </w:p>
        </w:tc>
        <w:tc>
          <w:tcPr>
            <w:tcW w:type="dxa" w:w="1121"/>
            <w:shd w:val="clear" w:color="auto" w:fill="173B67"/>
          </w:tcPr>
          <w:p>
            <w:pPr>
              <w:spacing w:after="0" w:line="240" w:lineRule="auto"/>
            </w:pPr>
            <w:r>
              <w:rPr>
                <w:b/>
                <w:color w:val="FFFFFF"/>
                <w:sz w:val="18"/>
              </w:rPr>
              <w:t>Main Parts</w:t>
            </w:r>
          </w:p>
        </w:tc>
      </w:tr>
      <w:tr>
        <w:trPr>
          <w:cantSplit/>
        </w:trPr>
        <w:tc>
          <w:tcPr>
            <w:tcW w:type="dxa" w:w="2442"/>
          </w:tcPr>
          <w:p>
            <w:pPr>
              <w:spacing w:after="0" w:line="240" w:lineRule="auto"/>
            </w:pPr>
            <w:r>
              <w:rPr>
                <w:sz w:val="18"/>
              </w:rPr>
              <w:t>Starting point</w:t>
            </w:r>
          </w:p>
        </w:tc>
        <w:tc>
          <w:tcPr>
            <w:tcW w:type="dxa" w:w="5466"/>
          </w:tcPr>
          <w:p>
            <w:pPr>
              <w:spacing w:after="0" w:line="240" w:lineRule="auto"/>
            </w:pPr>
            <w:r>
              <w:rPr>
                <w:sz w:val="18"/>
              </w:rPr>
              <w:t>Price, discount and bargaining</w:t>
            </w:r>
          </w:p>
        </w:tc>
        <w:tc>
          <w:tcPr>
            <w:tcW w:type="dxa" w:w="1121"/>
          </w:tcPr>
          <w:p>
            <w:pPr>
              <w:spacing w:after="0" w:line="240" w:lineRule="auto"/>
            </w:pPr>
            <w:r>
              <w:rPr>
                <w:sz w:val="18"/>
              </w:rPr>
              <w:t>1</w:t>
            </w:r>
          </w:p>
        </w:tc>
      </w:tr>
      <w:tr>
        <w:trPr>
          <w:cantSplit/>
        </w:trPr>
        <w:tc>
          <w:tcPr>
            <w:tcW w:type="dxa" w:w="2442"/>
            <w:shd w:val="clear" w:color="auto" w:fill="F3F6FA"/>
          </w:tcPr>
          <w:p>
            <w:pPr>
              <w:spacing w:after="0" w:line="240" w:lineRule="auto"/>
            </w:pPr>
            <w:r>
              <w:rPr>
                <w:sz w:val="18"/>
              </w:rPr>
              <w:t>Perception</w:t>
            </w:r>
          </w:p>
        </w:tc>
        <w:tc>
          <w:tcPr>
            <w:tcW w:type="dxa" w:w="5466"/>
            <w:shd w:val="clear" w:color="auto" w:fill="F3F6FA"/>
          </w:tcPr>
          <w:p>
            <w:pPr>
              <w:spacing w:after="0" w:line="240" w:lineRule="auto"/>
            </w:pPr>
            <w:r>
              <w:rPr>
                <w:sz w:val="18"/>
              </w:rPr>
              <w:t>Separate observable facts from assumptions</w:t>
            </w:r>
          </w:p>
        </w:tc>
        <w:tc>
          <w:tcPr>
            <w:tcW w:type="dxa" w:w="1121"/>
            <w:shd w:val="clear" w:color="auto" w:fill="F3F6FA"/>
          </w:tcPr>
          <w:p>
            <w:pPr>
              <w:spacing w:after="0" w:line="240" w:lineRule="auto"/>
            </w:pPr>
            <w:r>
              <w:rPr>
                <w:sz w:val="18"/>
              </w:rPr>
              <w:t>2, 6</w:t>
            </w:r>
          </w:p>
        </w:tc>
      </w:tr>
      <w:tr>
        <w:trPr>
          <w:cantSplit/>
        </w:trPr>
        <w:tc>
          <w:tcPr>
            <w:tcW w:type="dxa" w:w="2442"/>
          </w:tcPr>
          <w:p>
            <w:pPr>
              <w:spacing w:after="0" w:line="240" w:lineRule="auto"/>
            </w:pPr>
            <w:r>
              <w:rPr>
                <w:sz w:val="18"/>
              </w:rPr>
              <w:t>Value claiming</w:t>
            </w:r>
          </w:p>
        </w:tc>
        <w:tc>
          <w:tcPr>
            <w:tcW w:type="dxa" w:w="5466"/>
          </w:tcPr>
          <w:p>
            <w:pPr>
              <w:spacing w:after="0" w:line="240" w:lineRule="auto"/>
            </w:pPr>
            <w:r>
              <w:rPr>
                <w:sz w:val="18"/>
              </w:rPr>
              <w:t>Anchor, target, reservation point and concessions</w:t>
            </w:r>
          </w:p>
        </w:tc>
        <w:tc>
          <w:tcPr>
            <w:tcW w:type="dxa" w:w="1121"/>
          </w:tcPr>
          <w:p>
            <w:pPr>
              <w:spacing w:after="0" w:line="240" w:lineRule="auto"/>
            </w:pPr>
            <w:r>
              <w:rPr>
                <w:sz w:val="18"/>
              </w:rPr>
              <w:t>3, 10, 11</w:t>
            </w:r>
          </w:p>
        </w:tc>
      </w:tr>
      <w:tr>
        <w:trPr>
          <w:cantSplit/>
        </w:trPr>
        <w:tc>
          <w:tcPr>
            <w:tcW w:type="dxa" w:w="2442"/>
            <w:shd w:val="clear" w:color="auto" w:fill="F3F6FA"/>
          </w:tcPr>
          <w:p>
            <w:pPr>
              <w:spacing w:after="0" w:line="240" w:lineRule="auto"/>
            </w:pPr>
            <w:r>
              <w:rPr>
                <w:sz w:val="18"/>
              </w:rPr>
              <w:t>Value creation</w:t>
            </w:r>
          </w:p>
        </w:tc>
        <w:tc>
          <w:tcPr>
            <w:tcW w:type="dxa" w:w="5466"/>
            <w:shd w:val="clear" w:color="auto" w:fill="F3F6FA"/>
          </w:tcPr>
          <w:p>
            <w:pPr>
              <w:spacing w:after="0" w:line="240" w:lineRule="auto"/>
            </w:pPr>
            <w:r>
              <w:rPr>
                <w:sz w:val="18"/>
              </w:rPr>
              <w:t>Move from one variable to multiple variables</w:t>
            </w:r>
          </w:p>
        </w:tc>
        <w:tc>
          <w:tcPr>
            <w:tcW w:type="dxa" w:w="1121"/>
            <w:shd w:val="clear" w:color="auto" w:fill="F3F6FA"/>
          </w:tcPr>
          <w:p>
            <w:pPr>
              <w:spacing w:after="0" w:line="240" w:lineRule="auto"/>
            </w:pPr>
            <w:r>
              <w:rPr>
                <w:sz w:val="18"/>
              </w:rPr>
              <w:t>4</w:t>
            </w:r>
          </w:p>
        </w:tc>
      </w:tr>
      <w:tr>
        <w:trPr>
          <w:cantSplit/>
        </w:trPr>
        <w:tc>
          <w:tcPr>
            <w:tcW w:type="dxa" w:w="2442"/>
          </w:tcPr>
          <w:p>
            <w:pPr>
              <w:spacing w:after="0" w:line="240" w:lineRule="auto"/>
            </w:pPr>
            <w:r>
              <w:rPr>
                <w:sz w:val="18"/>
              </w:rPr>
              <w:t>Preparation</w:t>
            </w:r>
          </w:p>
        </w:tc>
        <w:tc>
          <w:tcPr>
            <w:tcW w:type="dxa" w:w="5466"/>
          </w:tcPr>
          <w:p>
            <w:pPr>
              <w:spacing w:after="0" w:line="240" w:lineRule="auto"/>
            </w:pPr>
            <w:r>
              <w:rPr>
                <w:sz w:val="18"/>
              </w:rPr>
              <w:t>People – Substance – Process</w:t>
            </w:r>
          </w:p>
        </w:tc>
        <w:tc>
          <w:tcPr>
            <w:tcW w:type="dxa" w:w="1121"/>
          </w:tcPr>
          <w:p>
            <w:pPr>
              <w:spacing w:after="0" w:line="240" w:lineRule="auto"/>
            </w:pPr>
            <w:r>
              <w:rPr>
                <w:sz w:val="18"/>
              </w:rPr>
              <w:t>5, 16</w:t>
            </w:r>
          </w:p>
        </w:tc>
      </w:tr>
      <w:tr>
        <w:trPr>
          <w:cantSplit/>
        </w:trPr>
        <w:tc>
          <w:tcPr>
            <w:tcW w:type="dxa" w:w="2442"/>
            <w:shd w:val="clear" w:color="auto" w:fill="F3F6FA"/>
          </w:tcPr>
          <w:p>
            <w:pPr>
              <w:spacing w:after="0" w:line="240" w:lineRule="auto"/>
            </w:pPr>
            <w:r>
              <w:rPr>
                <w:sz w:val="18"/>
              </w:rPr>
              <w:t>Communication</w:t>
            </w:r>
          </w:p>
        </w:tc>
        <w:tc>
          <w:tcPr>
            <w:tcW w:type="dxa" w:w="5466"/>
            <w:shd w:val="clear" w:color="auto" w:fill="F3F6FA"/>
          </w:tcPr>
          <w:p>
            <w:pPr>
              <w:spacing w:after="0" w:line="240" w:lineRule="auto"/>
            </w:pPr>
            <w:r>
              <w:rPr>
                <w:sz w:val="18"/>
              </w:rPr>
              <w:t>Listen to discover; speak to influence</w:t>
            </w:r>
          </w:p>
        </w:tc>
        <w:tc>
          <w:tcPr>
            <w:tcW w:type="dxa" w:w="1121"/>
            <w:shd w:val="clear" w:color="auto" w:fill="F3F6FA"/>
          </w:tcPr>
          <w:p>
            <w:pPr>
              <w:spacing w:after="0" w:line="240" w:lineRule="auto"/>
            </w:pPr>
            <w:r>
              <w:rPr>
                <w:sz w:val="18"/>
              </w:rPr>
              <w:t>6, 7</w:t>
            </w:r>
          </w:p>
        </w:tc>
      </w:tr>
      <w:tr>
        <w:trPr>
          <w:cantSplit/>
        </w:trPr>
        <w:tc>
          <w:tcPr>
            <w:tcW w:type="dxa" w:w="2442"/>
          </w:tcPr>
          <w:p>
            <w:pPr>
              <w:spacing w:after="0" w:line="240" w:lineRule="auto"/>
            </w:pPr>
            <w:r>
              <w:rPr>
                <w:sz w:val="18"/>
              </w:rPr>
              <w:t>Power and alternatives</w:t>
            </w:r>
          </w:p>
        </w:tc>
        <w:tc>
          <w:tcPr>
            <w:tcW w:type="dxa" w:w="5466"/>
          </w:tcPr>
          <w:p>
            <w:pPr>
              <w:spacing w:after="0" w:line="240" w:lineRule="auto"/>
            </w:pPr>
            <w:r>
              <w:rPr>
                <w:sz w:val="18"/>
              </w:rPr>
              <w:t>Use BATNA for discipline rather than threats</w:t>
            </w:r>
          </w:p>
        </w:tc>
        <w:tc>
          <w:tcPr>
            <w:tcW w:type="dxa" w:w="1121"/>
          </w:tcPr>
          <w:p>
            <w:pPr>
              <w:spacing w:after="0" w:line="240" w:lineRule="auto"/>
            </w:pPr>
            <w:r>
              <w:rPr>
                <w:sz w:val="18"/>
              </w:rPr>
              <w:t>10, 12</w:t>
            </w:r>
          </w:p>
        </w:tc>
      </w:tr>
      <w:tr>
        <w:trPr>
          <w:cantSplit/>
        </w:trPr>
        <w:tc>
          <w:tcPr>
            <w:tcW w:type="dxa" w:w="2442"/>
            <w:shd w:val="clear" w:color="auto" w:fill="F3F6FA"/>
          </w:tcPr>
          <w:p>
            <w:pPr>
              <w:spacing w:after="0" w:line="240" w:lineRule="auto"/>
            </w:pPr>
            <w:r>
              <w:rPr>
                <w:sz w:val="18"/>
              </w:rPr>
              <w:t>Multi-party negotiation</w:t>
            </w:r>
          </w:p>
        </w:tc>
        <w:tc>
          <w:tcPr>
            <w:tcW w:type="dxa" w:w="5466"/>
            <w:shd w:val="clear" w:color="auto" w:fill="F3F6FA"/>
          </w:tcPr>
          <w:p>
            <w:pPr>
              <w:spacing w:after="0" w:line="240" w:lineRule="auto"/>
            </w:pPr>
            <w:r>
              <w:rPr>
                <w:sz w:val="18"/>
              </w:rPr>
              <w:t>Map stakeholders and design process</w:t>
            </w:r>
          </w:p>
        </w:tc>
        <w:tc>
          <w:tcPr>
            <w:tcW w:type="dxa" w:w="1121"/>
            <w:shd w:val="clear" w:color="auto" w:fill="F3F6FA"/>
          </w:tcPr>
          <w:p>
            <w:pPr>
              <w:spacing w:after="0" w:line="240" w:lineRule="auto"/>
            </w:pPr>
            <w:r>
              <w:rPr>
                <w:sz w:val="18"/>
              </w:rPr>
              <w:t>8, 9</w:t>
            </w:r>
          </w:p>
        </w:tc>
      </w:tr>
      <w:tr>
        <w:trPr>
          <w:cantSplit/>
        </w:trPr>
        <w:tc>
          <w:tcPr>
            <w:tcW w:type="dxa" w:w="2442"/>
          </w:tcPr>
          <w:p>
            <w:pPr>
              <w:spacing w:after="0" w:line="240" w:lineRule="auto"/>
            </w:pPr>
            <w:r>
              <w:rPr>
                <w:sz w:val="18"/>
              </w:rPr>
              <w:t>Cross-cultural negotiation</w:t>
            </w:r>
          </w:p>
        </w:tc>
        <w:tc>
          <w:tcPr>
            <w:tcW w:type="dxa" w:w="5466"/>
          </w:tcPr>
          <w:p>
            <w:pPr>
              <w:spacing w:after="0" w:line="240" w:lineRule="auto"/>
            </w:pPr>
            <w:r>
              <w:rPr>
                <w:sz w:val="18"/>
              </w:rPr>
              <w:t>Adapt to relationship, context and communication</w:t>
            </w:r>
          </w:p>
        </w:tc>
        <w:tc>
          <w:tcPr>
            <w:tcW w:type="dxa" w:w="1121"/>
          </w:tcPr>
          <w:p>
            <w:pPr>
              <w:spacing w:after="0" w:line="240" w:lineRule="auto"/>
            </w:pPr>
            <w:r>
              <w:rPr>
                <w:sz w:val="18"/>
              </w:rPr>
              <w:t>13</w:t>
            </w:r>
          </w:p>
        </w:tc>
      </w:tr>
      <w:tr>
        <w:trPr>
          <w:cantSplit/>
        </w:trPr>
        <w:tc>
          <w:tcPr>
            <w:tcW w:type="dxa" w:w="2442"/>
            <w:shd w:val="clear" w:color="auto" w:fill="F3F6FA"/>
          </w:tcPr>
          <w:p>
            <w:pPr>
              <w:spacing w:after="0" w:line="240" w:lineRule="auto"/>
            </w:pPr>
            <w:r>
              <w:rPr>
                <w:sz w:val="18"/>
              </w:rPr>
              <w:t>Application</w:t>
            </w:r>
          </w:p>
        </w:tc>
        <w:tc>
          <w:tcPr>
            <w:tcW w:type="dxa" w:w="5466"/>
            <w:shd w:val="clear" w:color="auto" w:fill="F3F6FA"/>
          </w:tcPr>
          <w:p>
            <w:pPr>
              <w:spacing w:after="0" w:line="240" w:lineRule="auto"/>
            </w:pPr>
            <w:r>
              <w:rPr>
                <w:sz w:val="18"/>
              </w:rPr>
              <w:t>Property negotiation and interactive lab</w:t>
            </w:r>
          </w:p>
        </w:tc>
        <w:tc>
          <w:tcPr>
            <w:tcW w:type="dxa" w:w="1121"/>
            <w:shd w:val="clear" w:color="auto" w:fill="F3F6FA"/>
          </w:tcPr>
          <w:p>
            <w:pPr>
              <w:spacing w:after="0" w:line="240" w:lineRule="auto"/>
            </w:pPr>
            <w:r>
              <w:rPr>
                <w:sz w:val="18"/>
              </w:rPr>
              <w:t>7, 17, Appendices</w:t>
            </w:r>
          </w:p>
        </w:tc>
      </w:tr>
      <w:tr>
        <w:trPr>
          <w:cantSplit/>
        </w:trPr>
        <w:tc>
          <w:tcPr>
            <w:tcW w:type="dxa" w:w="2442"/>
          </w:tcPr>
          <w:p>
            <w:pPr>
              <w:spacing w:after="0" w:line="240" w:lineRule="auto"/>
            </w:pPr>
            <w:r>
              <w:rPr>
                <w:sz w:val="18"/>
              </w:rPr>
              <w:t>End point</w:t>
            </w:r>
          </w:p>
        </w:tc>
        <w:tc>
          <w:tcPr>
            <w:tcW w:type="dxa" w:w="5466"/>
          </w:tcPr>
          <w:p>
            <w:pPr>
              <w:spacing w:after="0" w:line="240" w:lineRule="auto"/>
            </w:pPr>
            <w:r>
              <w:rPr>
                <w:sz w:val="18"/>
              </w:rPr>
              <w:t>Prepared adaptability rather than improvisation</w:t>
            </w:r>
          </w:p>
        </w:tc>
        <w:tc>
          <w:tcPr>
            <w:tcW w:type="dxa" w:w="1121"/>
          </w:tcPr>
          <w:p>
            <w:pPr>
              <w:spacing w:after="0" w:line="240" w:lineRule="auto"/>
            </w:pPr>
            <w:r>
              <w:rPr>
                <w:sz w:val="18"/>
              </w:rPr>
              <w:t>18</w:t>
            </w:r>
          </w:p>
        </w:tc>
      </w:tr>
    </w:tbl>
    <w:p>
      <w:pPr>
        <w:spacing w:after="0" w:line="144" w:lineRule="auto"/>
      </w:pPr>
      <w:r>
        <w:rPr>
          <w:sz w:val="8"/>
        </w:rPr>
        <w:t xml:space="preserve"> </w:t>
      </w:r>
    </w:p>
    <w:p>
      <w:r>
        <w:t>The final objective is not to become someone who always ‘wins’. It is to prepare better, diagnose more accurately, create and claim value deliberately, communicate credibly and know when agreement is better than walking away.</w:t>
      </w:r>
    </w:p>
    <w:p>
      <w:pPr>
        <w:pStyle w:val="Heading2"/>
      </w:pPr>
      <w:r>
        <w:t>How to Read This Journal: Creative Formats Used</w:t>
      </w:r>
    </w:p>
    <w:p>
      <w:r>
        <w:t>I use several formats because different kinds of learning fit different shapes: a rule is memorable at the table, a dialogue shows what a concept sounds like, a decision tree shows consequences, and a log turns practice into evidence.</w:t>
      </w:r>
    </w:p>
    <w:p>
      <w:pPr>
        <w:keepNext/>
        <w:spacing w:before="120" w:after="60"/>
      </w:pPr>
      <w:r>
        <w:rPr>
          <w:b/>
          <w:color w:val="173B67"/>
          <w:sz w:val="20"/>
        </w:rPr>
        <w:t>Table 2. Formats used in this journal and why</w:t>
      </w:r>
    </w:p>
    <w:tbl>
      <w:tblPr>
        <w:tblStyle w:val="TableGrid"/>
        <w:tblW w:type="auto" w:w="0"/>
        <w:jc w:val="center"/>
        <w:tblLook w:firstColumn="1" w:firstRow="1" w:lastColumn="0" w:lastRow="0" w:noHBand="0" w:noVBand="1" w:val="04A0"/>
        <w:tblLayout w:type="fixed"/>
      </w:tblPr>
      <w:tblGrid>
        <w:gridCol w:w="2246"/>
        <w:gridCol w:w="1655"/>
        <w:gridCol w:w="5126"/>
      </w:tblGrid>
      <w:tr>
        <w:trPr>
          <w:cantSplit/>
          <w:tblHeader w:val="true"/>
        </w:trPr>
        <w:tc>
          <w:tcPr>
            <w:tcW w:type="dxa" w:w="2247"/>
            <w:shd w:val="clear" w:color="auto" w:fill="173B67"/>
          </w:tcPr>
          <w:p>
            <w:pPr>
              <w:spacing w:after="0" w:line="240" w:lineRule="auto"/>
            </w:pPr>
            <w:r>
              <w:rPr>
                <w:b/>
                <w:color w:val="FFFFFF"/>
                <w:sz w:val="18"/>
              </w:rPr>
              <w:t>Format</w:t>
            </w:r>
          </w:p>
        </w:tc>
        <w:tc>
          <w:tcPr>
            <w:tcW w:type="dxa" w:w="1655"/>
            <w:shd w:val="clear" w:color="auto" w:fill="173B67"/>
          </w:tcPr>
          <w:p>
            <w:pPr>
              <w:spacing w:after="0" w:line="240" w:lineRule="auto"/>
            </w:pPr>
            <w:r>
              <w:rPr>
                <w:b/>
                <w:color w:val="FFFFFF"/>
                <w:sz w:val="18"/>
              </w:rPr>
              <w:t>Where</w:t>
            </w:r>
          </w:p>
        </w:tc>
        <w:tc>
          <w:tcPr>
            <w:tcW w:type="dxa" w:w="5127"/>
            <w:shd w:val="clear" w:color="auto" w:fill="173B67"/>
          </w:tcPr>
          <w:p>
            <w:pPr>
              <w:spacing w:after="0" w:line="240" w:lineRule="auto"/>
            </w:pPr>
            <w:r>
              <w:rPr>
                <w:b/>
                <w:color w:val="FFFFFF"/>
                <w:sz w:val="18"/>
              </w:rPr>
              <w:t>Why I used it</w:t>
            </w:r>
          </w:p>
        </w:tc>
      </w:tr>
      <w:tr>
        <w:trPr>
          <w:cantSplit/>
        </w:trPr>
        <w:tc>
          <w:tcPr>
            <w:tcW w:type="dxa" w:w="2247"/>
          </w:tcPr>
          <w:p>
            <w:pPr>
              <w:spacing w:after="0" w:line="240" w:lineRule="auto"/>
            </w:pPr>
            <w:r>
              <w:rPr>
                <w:sz w:val="18"/>
              </w:rPr>
              <w:t>Numbered personal rules (#1-#18)</w:t>
            </w:r>
          </w:p>
        </w:tc>
        <w:tc>
          <w:tcPr>
            <w:tcW w:type="dxa" w:w="1655"/>
          </w:tcPr>
          <w:p>
            <w:pPr>
              <w:spacing w:after="0" w:line="240" w:lineRule="auto"/>
            </w:pPr>
            <w:r>
              <w:rPr>
                <w:sz w:val="18"/>
              </w:rPr>
              <w:t>End of every Part, in a highlighted box</w:t>
            </w:r>
          </w:p>
        </w:tc>
        <w:tc>
          <w:tcPr>
            <w:tcW w:type="dxa" w:w="5127"/>
          </w:tcPr>
          <w:p>
            <w:pPr>
              <w:spacing w:after="0" w:line="240" w:lineRule="auto"/>
            </w:pPr>
            <w:r>
              <w:rPr>
                <w:sz w:val="18"/>
              </w:rPr>
              <w:t>To convert each lesson into a behaviour I can test</w:t>
            </w:r>
          </w:p>
        </w:tc>
      </w:tr>
      <w:tr>
        <w:trPr>
          <w:cantSplit/>
        </w:trPr>
        <w:tc>
          <w:tcPr>
            <w:tcW w:type="dxa" w:w="2247"/>
            <w:shd w:val="clear" w:color="auto" w:fill="F3F6FA"/>
          </w:tcPr>
          <w:p>
            <w:pPr>
              <w:spacing w:after="0" w:line="240" w:lineRule="auto"/>
            </w:pPr>
            <w:r>
              <w:rPr>
                <w:sz w:val="18"/>
              </w:rPr>
              <w:t>Annotated dialogue</w:t>
            </w:r>
          </w:p>
        </w:tc>
        <w:tc>
          <w:tcPr>
            <w:tcW w:type="dxa" w:w="1655"/>
            <w:shd w:val="clear" w:color="auto" w:fill="F3F6FA"/>
          </w:tcPr>
          <w:p>
            <w:pPr>
              <w:spacing w:after="0" w:line="240" w:lineRule="auto"/>
            </w:pPr>
            <w:r>
              <w:rPr>
                <w:sz w:val="18"/>
              </w:rPr>
              <w:t>Part 6</w:t>
            </w:r>
          </w:p>
        </w:tc>
        <w:tc>
          <w:tcPr>
            <w:tcW w:type="dxa" w:w="5127"/>
            <w:shd w:val="clear" w:color="auto" w:fill="F3F6FA"/>
          </w:tcPr>
          <w:p>
            <w:pPr>
              <w:spacing w:after="0" w:line="240" w:lineRule="auto"/>
            </w:pPr>
            <w:r>
              <w:rPr>
                <w:sz w:val="18"/>
              </w:rPr>
              <w:t>To show the Ladder of Inference and active listening in actual words</w:t>
            </w:r>
          </w:p>
        </w:tc>
      </w:tr>
      <w:tr>
        <w:trPr>
          <w:cantSplit/>
        </w:trPr>
        <w:tc>
          <w:tcPr>
            <w:tcW w:type="dxa" w:w="2247"/>
          </w:tcPr>
          <w:p>
            <w:pPr>
              <w:spacing w:after="0" w:line="240" w:lineRule="auto"/>
            </w:pPr>
            <w:r>
              <w:rPr>
                <w:sz w:val="18"/>
              </w:rPr>
              <w:t>Concession-signal audit</w:t>
            </w:r>
          </w:p>
        </w:tc>
        <w:tc>
          <w:tcPr>
            <w:tcW w:type="dxa" w:w="1655"/>
          </w:tcPr>
          <w:p>
            <w:pPr>
              <w:spacing w:after="0" w:line="240" w:lineRule="auto"/>
            </w:pPr>
            <w:r>
              <w:rPr>
                <w:sz w:val="18"/>
              </w:rPr>
              <w:t>Part 11</w:t>
            </w:r>
          </w:p>
        </w:tc>
        <w:tc>
          <w:tcPr>
            <w:tcW w:type="dxa" w:w="5127"/>
          </w:tcPr>
          <w:p>
            <w:pPr>
              <w:spacing w:after="0" w:line="240" w:lineRule="auto"/>
            </w:pPr>
            <w:r>
              <w:rPr>
                <w:sz w:val="18"/>
              </w:rPr>
              <w:t>To make the informational value of each concession visible</w:t>
            </w:r>
          </w:p>
        </w:tc>
      </w:tr>
      <w:tr>
        <w:trPr>
          <w:cantSplit/>
        </w:trPr>
        <w:tc>
          <w:tcPr>
            <w:tcW w:type="dxa" w:w="2247"/>
            <w:shd w:val="clear" w:color="auto" w:fill="F3F6FA"/>
          </w:tcPr>
          <w:p>
            <w:pPr>
              <w:spacing w:after="0" w:line="240" w:lineRule="auto"/>
            </w:pPr>
            <w:r>
              <w:rPr>
                <w:sz w:val="18"/>
              </w:rPr>
              <w:t>Tension vignette</w:t>
            </w:r>
          </w:p>
        </w:tc>
        <w:tc>
          <w:tcPr>
            <w:tcW w:type="dxa" w:w="1655"/>
            <w:shd w:val="clear" w:color="auto" w:fill="F3F6FA"/>
          </w:tcPr>
          <w:p>
            <w:pPr>
              <w:spacing w:after="0" w:line="240" w:lineRule="auto"/>
            </w:pPr>
            <w:r>
              <w:rPr>
                <w:sz w:val="18"/>
              </w:rPr>
              <w:t>Part 2</w:t>
            </w:r>
          </w:p>
        </w:tc>
        <w:tc>
          <w:tcPr>
            <w:tcW w:type="dxa" w:w="5127"/>
            <w:shd w:val="clear" w:color="auto" w:fill="F3F6FA"/>
          </w:tcPr>
          <w:p>
            <w:pPr>
              <w:spacing w:after="0" w:line="240" w:lineRule="auto"/>
            </w:pPr>
            <w:r>
              <w:rPr>
                <w:sz w:val="18"/>
              </w:rPr>
              <w:t>To record a candid moment where my instinct nearly cost me information</w:t>
            </w:r>
          </w:p>
        </w:tc>
      </w:tr>
      <w:tr>
        <w:trPr>
          <w:cantSplit/>
        </w:trPr>
        <w:tc>
          <w:tcPr>
            <w:tcW w:type="dxa" w:w="2247"/>
          </w:tcPr>
          <w:p>
            <w:pPr>
              <w:spacing w:after="0" w:line="240" w:lineRule="auto"/>
            </w:pPr>
            <w:r>
              <w:rPr>
                <w:sz w:val="18"/>
              </w:rPr>
              <w:t>Decision tree</w:t>
            </w:r>
          </w:p>
        </w:tc>
        <w:tc>
          <w:tcPr>
            <w:tcW w:type="dxa" w:w="1655"/>
          </w:tcPr>
          <w:p>
            <w:pPr>
              <w:spacing w:after="0" w:line="240" w:lineRule="auto"/>
            </w:pPr>
            <w:r>
              <w:rPr>
                <w:sz w:val="18"/>
              </w:rPr>
              <w:t>Part 17</w:t>
            </w:r>
          </w:p>
        </w:tc>
        <w:tc>
          <w:tcPr>
            <w:tcW w:type="dxa" w:w="5127"/>
          </w:tcPr>
          <w:p>
            <w:pPr>
              <w:spacing w:after="0" w:line="240" w:lineRule="auto"/>
            </w:pPr>
            <w:r>
              <w:rPr>
                <w:sz w:val="18"/>
              </w:rPr>
              <w:t>To mirror the branching logic of the lab in written form</w:t>
            </w:r>
          </w:p>
        </w:tc>
      </w:tr>
      <w:tr>
        <w:trPr>
          <w:cantSplit/>
        </w:trPr>
        <w:tc>
          <w:tcPr>
            <w:tcW w:type="dxa" w:w="2247"/>
            <w:shd w:val="clear" w:color="auto" w:fill="F3F6FA"/>
          </w:tcPr>
          <w:p>
            <w:pPr>
              <w:spacing w:after="0" w:line="240" w:lineRule="auto"/>
            </w:pPr>
            <w:r>
              <w:rPr>
                <w:sz w:val="18"/>
              </w:rPr>
              <w:t>Before/after belief table</w:t>
            </w:r>
          </w:p>
        </w:tc>
        <w:tc>
          <w:tcPr>
            <w:tcW w:type="dxa" w:w="1655"/>
            <w:shd w:val="clear" w:color="auto" w:fill="F3F6FA"/>
          </w:tcPr>
          <w:p>
            <w:pPr>
              <w:spacing w:after="0" w:line="240" w:lineRule="auto"/>
            </w:pPr>
            <w:r>
              <w:rPr>
                <w:sz w:val="18"/>
              </w:rPr>
              <w:t>Part 15</w:t>
            </w:r>
          </w:p>
        </w:tc>
        <w:tc>
          <w:tcPr>
            <w:tcW w:type="dxa" w:w="5127"/>
            <w:shd w:val="clear" w:color="auto" w:fill="F3F6FA"/>
          </w:tcPr>
          <w:p>
            <w:pPr>
              <w:spacing w:after="0" w:line="240" w:lineRule="auto"/>
            </w:pPr>
            <w:r>
              <w:rPr>
                <w:sz w:val="18"/>
              </w:rPr>
              <w:t>To evidence changes in thinking, not just knowledge</w:t>
            </w:r>
          </w:p>
        </w:tc>
      </w:tr>
      <w:tr>
        <w:trPr>
          <w:cantSplit/>
        </w:trPr>
        <w:tc>
          <w:tcPr>
            <w:tcW w:type="dxa" w:w="2247"/>
          </w:tcPr>
          <w:p>
            <w:pPr>
              <w:spacing w:after="0" w:line="240" w:lineRule="auto"/>
            </w:pPr>
            <w:r>
              <w:rPr>
                <w:sz w:val="18"/>
              </w:rPr>
              <w:t>Book-to-behaviour table</w:t>
            </w:r>
          </w:p>
        </w:tc>
        <w:tc>
          <w:tcPr>
            <w:tcW w:type="dxa" w:w="1655"/>
          </w:tcPr>
          <w:p>
            <w:pPr>
              <w:spacing w:after="0" w:line="240" w:lineRule="auto"/>
            </w:pPr>
            <w:r>
              <w:rPr>
                <w:sz w:val="18"/>
              </w:rPr>
              <w:t>Learning Beyond Class</w:t>
            </w:r>
          </w:p>
        </w:tc>
        <w:tc>
          <w:tcPr>
            <w:tcW w:type="dxa" w:w="5127"/>
          </w:tcPr>
          <w:p>
            <w:pPr>
              <w:spacing w:after="0" w:line="240" w:lineRule="auto"/>
            </w:pPr>
            <w:r>
              <w:rPr>
                <w:sz w:val="18"/>
              </w:rPr>
              <w:t>To show how outside reading changed specific behaviour</w:t>
            </w:r>
          </w:p>
        </w:tc>
      </w:tr>
      <w:tr>
        <w:trPr>
          <w:cantSplit/>
        </w:trPr>
        <w:tc>
          <w:tcPr>
            <w:tcW w:type="dxa" w:w="2247"/>
            <w:shd w:val="clear" w:color="auto" w:fill="F3F6FA"/>
          </w:tcPr>
          <w:p>
            <w:pPr>
              <w:spacing w:after="0" w:line="240" w:lineRule="auto"/>
            </w:pPr>
            <w:r>
              <w:rPr>
                <w:sz w:val="18"/>
              </w:rPr>
              <w:t>Theory to Lab Step map</w:t>
            </w:r>
          </w:p>
        </w:tc>
        <w:tc>
          <w:tcPr>
            <w:tcW w:type="dxa" w:w="1655"/>
            <w:shd w:val="clear" w:color="auto" w:fill="F3F6FA"/>
          </w:tcPr>
          <w:p>
            <w:pPr>
              <w:spacing w:after="0" w:line="240" w:lineRule="auto"/>
            </w:pPr>
            <w:r>
              <w:rPr>
                <w:sz w:val="18"/>
              </w:rPr>
              <w:t>Companion Lab section</w:t>
            </w:r>
          </w:p>
        </w:tc>
        <w:tc>
          <w:tcPr>
            <w:tcW w:type="dxa" w:w="5127"/>
            <w:shd w:val="clear" w:color="auto" w:fill="F3F6FA"/>
          </w:tcPr>
          <w:p>
            <w:pPr>
              <w:spacing w:after="0" w:line="240" w:lineRule="auto"/>
            </w:pPr>
            <w:r>
              <w:rPr>
                <w:sz w:val="18"/>
              </w:rPr>
              <w:t>To link every major concept to a decision in the website</w:t>
            </w:r>
          </w:p>
        </w:tc>
      </w:tr>
      <w:tr>
        <w:trPr>
          <w:cantSplit/>
        </w:trPr>
        <w:tc>
          <w:tcPr>
            <w:tcW w:type="dxa" w:w="2247"/>
          </w:tcPr>
          <w:p>
            <w:pPr>
              <w:spacing w:after="0" w:line="240" w:lineRule="auto"/>
            </w:pPr>
            <w:r>
              <w:rPr>
                <w:sz w:val="18"/>
              </w:rPr>
              <w:t>Lab run log</w:t>
            </w:r>
          </w:p>
        </w:tc>
        <w:tc>
          <w:tcPr>
            <w:tcW w:type="dxa" w:w="1655"/>
          </w:tcPr>
          <w:p>
            <w:pPr>
              <w:spacing w:after="0" w:line="240" w:lineRule="auto"/>
            </w:pPr>
            <w:r>
              <w:rPr>
                <w:sz w:val="18"/>
              </w:rPr>
              <w:t>Appendix B</w:t>
            </w:r>
          </w:p>
        </w:tc>
        <w:tc>
          <w:tcPr>
            <w:tcW w:type="dxa" w:w="5127"/>
          </w:tcPr>
          <w:p>
            <w:pPr>
              <w:spacing w:after="0" w:line="240" w:lineRule="auto"/>
            </w:pPr>
            <w:r>
              <w:rPr>
                <w:sz w:val="18"/>
              </w:rPr>
              <w:t>To record my own lab runs honestly and reflect on them</w:t>
            </w:r>
          </w:p>
        </w:tc>
      </w:tr>
    </w:tbl>
    <w:p>
      <w:pPr>
        <w:spacing w:after="0" w:line="144" w:lineRule="auto"/>
      </w:pPr>
      <w:r>
        <w:rPr>
          <w:sz w:val="8"/>
        </w:rPr>
        <w:t xml:space="preserve"> </w:t>
      </w:r>
    </w:p>
    <w:p>
      <w:pPr>
        <w:pStyle w:val="Heading1"/>
      </w:pPr>
      <w:r>
        <w:t>Companion Website: The Interactive Negotiation Lab</w:t>
      </w:r>
    </w:p>
    <w:p>
      <w:r>
        <w:t>The companion lab is a branching simulation in which the reader plays a buyer facing a seller who asks S$1.80m. It tests the concepts in this journal in the sequence in which I learned to apply them.</w:t>
      </w:r>
    </w:p>
    <w:p>
      <w:pPr>
        <w:pBdr>
          <w:left w:val="single" w:sz="24" w:space="6" w:color="0563C1"/>
        </w:pBdr>
        <w:shd w:val="clear" w:color="auto" w:fill="EAF2FB"/>
        <w:spacing w:before="80"/>
      </w:pPr>
      <w:r>
        <w:rPr>
          <w:b/>
        </w:rPr>
        <w:t xml:space="preserve">Live learning platform: </w:t>
      </w:r>
      <w:hyperlink r:id="rId9">
        <w:r>
          <w:rPr>
            <w:b/>
            <w:rStyle w:val="Hyperlink"/>
            <w:color w:val="0563C1"/>
            <w:u w:val="single"/>
          </w:rPr>
          <w:t xml:space="preserve">https://www.negotiation.site/</w:t>
        </w:r>
      </w:hyperlink>
    </w:p>
    <w:p>
      <w:r>
        <w:rPr>
          <w:i/>
          <w:color w:val="556070"/>
          <w:sz w:val="19"/>
        </w:rPr>
        <w:t>The address above is the live companion learning platform. It has twelve modules, the full property simulation (Module 10), a Theory-to-Journal map and a reflection log.</w:t>
      </w:r>
    </w:p>
    <w:tbl>
      <w:tblPr>
        <w:tblStyle w:val="TableGrid"/>
        <w:tblW w:type="dxa" w:w="2592"/>
        <w:jc w:val="center"/>
        <w:tblLayout w:type="fixed"/>
        <w:tblLook w:firstColumn="1" w:firstRow="1" w:lastColumn="0" w:lastRow="0" w:noHBand="0" w:noVBand="1" w:val="04A0"/>
        <w:tblLayout w:type="fixed"/>
      </w:tblPr>
      <w:tblGrid>
        <w:gridCol w:w="2592"/>
      </w:tblGrid>
      <w:tr>
        <w:trPr>
          <w:cantSplit/>
        </w:trPr>
        <w:tc>
          <w:tcPr>
            <w:tcW w:type="dxa" w:w="2592"/>
            <w:vAlign w:val="center"/>
          </w:tcPr>
          <w:p>
            <w:pPr>
              <w:keepNext/>
              <w:spacing w:before="80" w:after="80" w:line="240" w:lineRule="auto"/>
              <w:jc w:val="center"/>
            </w:pPr>
            <w:r>
              <w:drawing>
                <wp:inline xmlns:a="http://schemas.openxmlformats.org/drawingml/2006/main" xmlns:pic="http://schemas.openxmlformats.org/drawingml/2006/picture">
                  <wp:extent cx="1280160" cy="1280160"/>
                  <wp:docPr id="1" name="Picture 1"/>
                  <wp:cNvGraphicFramePr>
                    <a:graphicFrameLocks noChangeAspect="1"/>
                  </wp:cNvGraphicFramePr>
                  <a:graphic>
                    <a:graphicData uri="http://schemas.openxmlformats.org/drawingml/2006/picture">
                      <pic:pic>
                        <pic:nvPicPr>
                          <pic:cNvPr id="0" name="qr_site.png"/>
                          <pic:cNvPicPr/>
                        </pic:nvPicPr>
                        <pic:blipFill>
                          <a:blip r:embed="rId10"/>
                          <a:stretch>
                            <a:fillRect/>
                          </a:stretch>
                        </pic:blipFill>
                        <pic:spPr>
                          <a:xfrm>
                            <a:off x="0" y="0"/>
                            <a:ext cx="1280160" cy="1280160"/>
                          </a:xfrm>
                          <a:prstGeom prst="rect"/>
                        </pic:spPr>
                      </pic:pic>
                    </a:graphicData>
                  </a:graphic>
                </wp:inline>
              </w:drawing>
            </w:r>
          </w:p>
        </w:tc>
      </w:tr>
    </w:tbl>
    <w:p>
      <w:pPr>
        <w:spacing w:before="60" w:after="160"/>
        <w:jc w:val="center"/>
      </w:pPr>
      <w:r>
        <w:rPr>
          <w:i/>
          <w:color w:val="556070"/>
          <w:sz w:val="18"/>
        </w:rPr>
        <w:t>Scan to open the learning platform — www.negotiation.site</w:t>
      </w:r>
    </w:p>
    <w:p>
      <w:pPr>
        <w:pStyle w:val="Heading2"/>
      </w:pPr>
      <w:r>
        <w:t>When to run the lab</w:t>
      </w:r>
    </w:p>
    <w:p>
      <w:r>
        <w:rPr>
          <w:b/>
        </w:rPr>
        <w:t>Run 1 – after Parts 3 to 7.</w:t>
      </w:r>
      <w:r>
        <w:t xml:space="preserve"> By that point the reader (and I) will have covered anchoring, value creation, preparation, active listening and active speaking. The first run tests whether those ideas survive contact with a choice. I expect the first run to expose the gap between knowing a concept and choosing it when a seller says “S$1.80m is my absolute minimum”.</w:t>
      </w:r>
    </w:p>
    <w:p>
      <w:r>
        <w:rPr>
          <w:b/>
        </w:rPr>
        <w:t>Run 2 – after Part 16.</w:t>
      </w:r>
      <w:r>
        <w:t xml:space="preserve"> By then the reader has the multiparty, BATNA, concession, credibility and cultural material, plus my personal playbook. The second run tests whether the playbook changes the path – not only the score.</w:t>
      </w:r>
    </w:p>
    <w:p>
      <w:r>
        <w:rPr>
          <w:b/>
        </w:rPr>
        <w:t>After each run,</w:t>
      </w:r>
      <w:r>
        <w:t xml:space="preserve"> use the lab’s “Copy debrief” button and paste the block into Appendix A, then complete the Lab Run Log in Appendix B. The debrief block lists the path tags, the People/Substance/Process scores and the Journal Part linked to each decision, so the reflection can be anchored to a specific concept rather than to a general impression.</w:t>
      </w:r>
    </w:p>
    <w:p>
      <w:pPr>
        <w:pStyle w:val="Heading2"/>
      </w:pPr>
      <w:r>
        <w:t>Theory to Lab Step map</w:t>
      </w:r>
    </w:p>
    <w:p>
      <w:r>
        <w:t>The table below is the bridge between the two documents. Each major concept is linked to the lab step that tests it, the Journal Part that discusses it, and what a strong choice looks like. The lab shows the same map in its “Journal map” card and gives a “Journal link” line after each coach analysis.</w:t>
      </w:r>
    </w:p>
    <w:p>
      <w:pPr>
        <w:keepNext/>
        <w:spacing w:before="120" w:after="60"/>
      </w:pPr>
      <w:r>
        <w:rPr>
          <w:b/>
          <w:color w:val="173B67"/>
          <w:sz w:val="20"/>
        </w:rPr>
        <w:t>Table 3. Theory to Lab Step map</w:t>
      </w:r>
    </w:p>
    <w:tbl>
      <w:tblPr>
        <w:tblStyle w:val="TableGrid"/>
        <w:tblW w:type="auto" w:w="0"/>
        <w:jc w:val="center"/>
        <w:tblLook w:firstColumn="1" w:firstRow="1" w:lastColumn="0" w:lastRow="0" w:noHBand="0" w:noVBand="1" w:val="04A0"/>
        <w:tblLayout w:type="fixed"/>
      </w:tblPr>
      <w:tblGrid>
        <w:gridCol w:w="2398"/>
        <w:gridCol w:w="1624"/>
        <w:gridCol w:w="951"/>
        <w:gridCol w:w="4054"/>
      </w:tblGrid>
      <w:tr>
        <w:trPr>
          <w:cantSplit/>
          <w:tblHeader w:val="true"/>
        </w:trPr>
        <w:tc>
          <w:tcPr>
            <w:tcW w:type="dxa" w:w="2398"/>
            <w:shd w:val="clear" w:color="auto" w:fill="173B67"/>
          </w:tcPr>
          <w:p>
            <w:pPr>
              <w:spacing w:after="0" w:line="240" w:lineRule="auto"/>
            </w:pPr>
            <w:r>
              <w:rPr>
                <w:b/>
                <w:color w:val="FFFFFF"/>
                <w:sz w:val="18"/>
              </w:rPr>
              <w:t>Concept</w:t>
            </w:r>
          </w:p>
        </w:tc>
        <w:tc>
          <w:tcPr>
            <w:tcW w:type="dxa" w:w="1624"/>
            <w:shd w:val="clear" w:color="auto" w:fill="173B67"/>
          </w:tcPr>
          <w:p>
            <w:pPr>
              <w:spacing w:after="0" w:line="240" w:lineRule="auto"/>
            </w:pPr>
            <w:r>
              <w:rPr>
                <w:b/>
                <w:color w:val="FFFFFF"/>
                <w:sz w:val="18"/>
              </w:rPr>
              <w:t>Lab step that tests it</w:t>
            </w:r>
          </w:p>
        </w:tc>
        <w:tc>
          <w:tcPr>
            <w:tcW w:type="dxa" w:w="951"/>
            <w:shd w:val="clear" w:color="auto" w:fill="173B67"/>
          </w:tcPr>
          <w:p>
            <w:pPr>
              <w:spacing w:after="0" w:line="240" w:lineRule="auto"/>
            </w:pPr>
            <w:r>
              <w:rPr>
                <w:b/>
                <w:color w:val="FFFFFF"/>
                <w:sz w:val="18"/>
              </w:rPr>
              <w:t>Journal Part</w:t>
            </w:r>
          </w:p>
        </w:tc>
        <w:tc>
          <w:tcPr>
            <w:tcW w:type="dxa" w:w="4055"/>
            <w:shd w:val="clear" w:color="auto" w:fill="173B67"/>
          </w:tcPr>
          <w:p>
            <w:pPr>
              <w:spacing w:after="0" w:line="240" w:lineRule="auto"/>
            </w:pPr>
            <w:r>
              <w:rPr>
                <w:b/>
                <w:color w:val="FFFFFF"/>
                <w:sz w:val="18"/>
              </w:rPr>
              <w:t>What a strong choice looks like</w:t>
            </w:r>
          </w:p>
        </w:tc>
      </w:tr>
      <w:tr>
        <w:trPr>
          <w:cantSplit/>
        </w:trPr>
        <w:tc>
          <w:tcPr>
            <w:tcW w:type="dxa" w:w="2398"/>
          </w:tcPr>
          <w:p>
            <w:pPr>
              <w:spacing w:after="0" w:line="240" w:lineRule="auto"/>
            </w:pPr>
            <w:r>
              <w:rPr>
                <w:sz w:val="18"/>
              </w:rPr>
              <w:t>3-D / 10-element preparation</w:t>
            </w:r>
          </w:p>
        </w:tc>
        <w:tc>
          <w:tcPr>
            <w:tcW w:type="dxa" w:w="1624"/>
          </w:tcPr>
          <w:p>
            <w:pPr>
              <w:spacing w:after="0" w:line="240" w:lineRule="auto"/>
            </w:pPr>
            <w:r>
              <w:rPr>
                <w:sz w:val="18"/>
              </w:rPr>
              <w:t>Prep checklist (before Step 1)</w:t>
            </w:r>
          </w:p>
        </w:tc>
        <w:tc>
          <w:tcPr>
            <w:tcW w:type="dxa" w:w="951"/>
          </w:tcPr>
          <w:p>
            <w:pPr>
              <w:spacing w:after="0" w:line="240" w:lineRule="auto"/>
            </w:pPr>
            <w:r>
              <w:rPr>
                <w:sz w:val="18"/>
              </w:rPr>
              <w:t>5, 16</w:t>
            </w:r>
          </w:p>
        </w:tc>
        <w:tc>
          <w:tcPr>
            <w:tcW w:type="dxa" w:w="4055"/>
          </w:tcPr>
          <w:p>
            <w:pPr>
              <w:spacing w:after="0" w:line="240" w:lineRule="auto"/>
            </w:pPr>
            <w:r>
              <w:rPr>
                <w:sz w:val="18"/>
              </w:rPr>
              <w:t>People, Substance and Process each prepared before the first word; BATNA valued, not only priced</w:t>
            </w:r>
          </w:p>
        </w:tc>
      </w:tr>
      <w:tr>
        <w:trPr>
          <w:cantSplit/>
        </w:trPr>
        <w:tc>
          <w:tcPr>
            <w:tcW w:type="dxa" w:w="2398"/>
            <w:shd w:val="clear" w:color="auto" w:fill="F3F6FA"/>
          </w:tcPr>
          <w:p>
            <w:pPr>
              <w:spacing w:after="0" w:line="240" w:lineRule="auto"/>
            </w:pPr>
            <w:r>
              <w:rPr>
                <w:sz w:val="18"/>
              </w:rPr>
              <w:t>Positions vs interests; diagnosing before exit</w:t>
            </w:r>
          </w:p>
        </w:tc>
        <w:tc>
          <w:tcPr>
            <w:tcW w:type="dxa" w:w="1624"/>
            <w:shd w:val="clear" w:color="auto" w:fill="F3F6FA"/>
          </w:tcPr>
          <w:p>
            <w:pPr>
              <w:spacing w:after="0" w:line="240" w:lineRule="auto"/>
            </w:pPr>
            <w:r>
              <w:rPr>
                <w:sz w:val="18"/>
              </w:rPr>
              <w:t>Step 1 – Opening / Diagnose</w:t>
            </w:r>
          </w:p>
        </w:tc>
        <w:tc>
          <w:tcPr>
            <w:tcW w:type="dxa" w:w="951"/>
            <w:shd w:val="clear" w:color="auto" w:fill="F3F6FA"/>
          </w:tcPr>
          <w:p>
            <w:pPr>
              <w:spacing w:after="0" w:line="240" w:lineRule="auto"/>
            </w:pPr>
            <w:r>
              <w:rPr>
                <w:sz w:val="18"/>
              </w:rPr>
              <w:t>1, 2</w:t>
            </w:r>
          </w:p>
        </w:tc>
        <w:tc>
          <w:tcPr>
            <w:tcW w:type="dxa" w:w="4055"/>
            <w:shd w:val="clear" w:color="auto" w:fill="F3F6FA"/>
          </w:tcPr>
          <w:p>
            <w:pPr>
              <w:spacing w:after="0" w:line="240" w:lineRule="auto"/>
            </w:pPr>
            <w:r>
              <w:rPr>
                <w:sz w:val="18"/>
              </w:rPr>
              <w:t>Ask what matters apart from price before countering</w:t>
            </w:r>
          </w:p>
        </w:tc>
      </w:tr>
      <w:tr>
        <w:trPr>
          <w:cantSplit/>
        </w:trPr>
        <w:tc>
          <w:tcPr>
            <w:tcW w:type="dxa" w:w="2398"/>
          </w:tcPr>
          <w:p>
            <w:pPr>
              <w:spacing w:after="0" w:line="240" w:lineRule="auto"/>
            </w:pPr>
            <w:r>
              <w:rPr>
                <w:sz w:val="18"/>
              </w:rPr>
              <w:t>Anchoring; target and reservation</w:t>
            </w:r>
          </w:p>
        </w:tc>
        <w:tc>
          <w:tcPr>
            <w:tcW w:type="dxa" w:w="1624"/>
          </w:tcPr>
          <w:p>
            <w:pPr>
              <w:spacing w:after="0" w:line="240" w:lineRule="auto"/>
            </w:pPr>
            <w:r>
              <w:rPr>
                <w:sz w:val="18"/>
              </w:rPr>
              <w:t>Step 1 – Opening / Diagnose</w:t>
            </w:r>
          </w:p>
        </w:tc>
        <w:tc>
          <w:tcPr>
            <w:tcW w:type="dxa" w:w="951"/>
          </w:tcPr>
          <w:p>
            <w:pPr>
              <w:spacing w:after="0" w:line="240" w:lineRule="auto"/>
            </w:pPr>
            <w:r>
              <w:rPr>
                <w:sz w:val="18"/>
              </w:rPr>
              <w:t>3</w:t>
            </w:r>
          </w:p>
        </w:tc>
        <w:tc>
          <w:tcPr>
            <w:tcW w:type="dxa" w:w="4055"/>
          </w:tcPr>
          <w:p>
            <w:pPr>
              <w:spacing w:after="0" w:line="240" w:lineRule="auto"/>
            </w:pPr>
            <w:r>
              <w:rPr>
                <w:sz w:val="18"/>
              </w:rPr>
              <w:t>No arbitrary counter; if anchoring, anchor with reasons after diagnosis</w:t>
            </w:r>
          </w:p>
        </w:tc>
      </w:tr>
      <w:tr>
        <w:trPr>
          <w:cantSplit/>
        </w:trPr>
        <w:tc>
          <w:tcPr>
            <w:tcW w:type="dxa" w:w="2398"/>
            <w:shd w:val="clear" w:color="auto" w:fill="F3F6FA"/>
          </w:tcPr>
          <w:p>
            <w:pPr>
              <w:spacing w:after="0" w:line="240" w:lineRule="auto"/>
            </w:pPr>
            <w:r>
              <w:rPr>
                <w:sz w:val="18"/>
              </w:rPr>
              <w:t>BATNA as discipline, not threat</w:t>
            </w:r>
          </w:p>
        </w:tc>
        <w:tc>
          <w:tcPr>
            <w:tcW w:type="dxa" w:w="1624"/>
            <w:shd w:val="clear" w:color="auto" w:fill="F3F6FA"/>
          </w:tcPr>
          <w:p>
            <w:pPr>
              <w:spacing w:after="0" w:line="240" w:lineRule="auto"/>
            </w:pPr>
            <w:r>
              <w:rPr>
                <w:sz w:val="18"/>
              </w:rPr>
              <w:t>Step 1 and Step 6</w:t>
            </w:r>
          </w:p>
        </w:tc>
        <w:tc>
          <w:tcPr>
            <w:tcW w:type="dxa" w:w="951"/>
            <w:shd w:val="clear" w:color="auto" w:fill="F3F6FA"/>
          </w:tcPr>
          <w:p>
            <w:pPr>
              <w:spacing w:after="0" w:line="240" w:lineRule="auto"/>
            </w:pPr>
            <w:r>
              <w:rPr>
                <w:sz w:val="18"/>
              </w:rPr>
              <w:t>10, 12</w:t>
            </w:r>
          </w:p>
        </w:tc>
        <w:tc>
          <w:tcPr>
            <w:tcW w:type="dxa" w:w="4055"/>
            <w:shd w:val="clear" w:color="auto" w:fill="F3F6FA"/>
          </w:tcPr>
          <w:p>
            <w:pPr>
              <w:spacing w:after="0" w:line="240" w:lineRule="auto"/>
            </w:pPr>
            <w:r>
              <w:rPr>
                <w:sz w:val="18"/>
              </w:rPr>
              <w:t>Keep the alternative private and use it to judge the package</w:t>
            </w:r>
          </w:p>
        </w:tc>
      </w:tr>
      <w:tr>
        <w:trPr>
          <w:cantSplit/>
        </w:trPr>
        <w:tc>
          <w:tcPr>
            <w:tcW w:type="dxa" w:w="2398"/>
          </w:tcPr>
          <w:p>
            <w:pPr>
              <w:spacing w:after="0" w:line="240" w:lineRule="auto"/>
            </w:pPr>
            <w:r>
              <w:rPr>
                <w:sz w:val="18"/>
              </w:rPr>
              <w:t>Ladder of Inference; active listening</w:t>
            </w:r>
          </w:p>
        </w:tc>
        <w:tc>
          <w:tcPr>
            <w:tcW w:type="dxa" w:w="1624"/>
          </w:tcPr>
          <w:p>
            <w:pPr>
              <w:spacing w:after="0" w:line="240" w:lineRule="auto"/>
            </w:pPr>
            <w:r>
              <w:rPr>
                <w:sz w:val="18"/>
              </w:rPr>
              <w:t>Step 2 – Listening</w:t>
            </w:r>
          </w:p>
        </w:tc>
        <w:tc>
          <w:tcPr>
            <w:tcW w:type="dxa" w:w="951"/>
          </w:tcPr>
          <w:p>
            <w:pPr>
              <w:spacing w:after="0" w:line="240" w:lineRule="auto"/>
            </w:pPr>
            <w:r>
              <w:rPr>
                <w:sz w:val="18"/>
              </w:rPr>
              <w:t>2, 6</w:t>
            </w:r>
          </w:p>
        </w:tc>
        <w:tc>
          <w:tcPr>
            <w:tcW w:type="dxa" w:w="4055"/>
          </w:tcPr>
          <w:p>
            <w:pPr>
              <w:spacing w:after="0" w:line="240" w:lineRule="auto"/>
            </w:pPr>
            <w:r>
              <w:rPr>
                <w:sz w:val="18"/>
              </w:rPr>
              <w:t>Restate, check, then ask one clarifying question; do not challenge or jump to price</w:t>
            </w:r>
          </w:p>
        </w:tc>
      </w:tr>
      <w:tr>
        <w:trPr>
          <w:cantSplit/>
        </w:trPr>
        <w:tc>
          <w:tcPr>
            <w:tcW w:type="dxa" w:w="2398"/>
            <w:shd w:val="clear" w:color="auto" w:fill="F3F6FA"/>
          </w:tcPr>
          <w:p>
            <w:pPr>
              <w:spacing w:after="0" w:line="240" w:lineRule="auto"/>
            </w:pPr>
            <w:r>
              <w:rPr>
                <w:sz w:val="18"/>
              </w:rPr>
              <w:t>Break – Link – Overlap; package deals</w:t>
            </w:r>
          </w:p>
        </w:tc>
        <w:tc>
          <w:tcPr>
            <w:tcW w:type="dxa" w:w="1624"/>
            <w:shd w:val="clear" w:color="auto" w:fill="F3F6FA"/>
          </w:tcPr>
          <w:p>
            <w:pPr>
              <w:spacing w:after="0" w:line="240" w:lineRule="auto"/>
            </w:pPr>
            <w:r>
              <w:rPr>
                <w:sz w:val="18"/>
              </w:rPr>
              <w:t>Step 3 – Expand</w:t>
            </w:r>
          </w:p>
        </w:tc>
        <w:tc>
          <w:tcPr>
            <w:tcW w:type="dxa" w:w="951"/>
            <w:shd w:val="clear" w:color="auto" w:fill="F3F6FA"/>
          </w:tcPr>
          <w:p>
            <w:pPr>
              <w:spacing w:after="0" w:line="240" w:lineRule="auto"/>
            </w:pPr>
            <w:r>
              <w:rPr>
                <w:sz w:val="18"/>
              </w:rPr>
              <w:t>4</w:t>
            </w:r>
          </w:p>
        </w:tc>
        <w:tc>
          <w:tcPr>
            <w:tcW w:type="dxa" w:w="4055"/>
            <w:shd w:val="clear" w:color="auto" w:fill="F3F6FA"/>
          </w:tcPr>
          <w:p>
            <w:pPr>
              <w:spacing w:after="0" w:line="240" w:lineRule="auto"/>
            </w:pPr>
            <w:r>
              <w:rPr>
                <w:sz w:val="18"/>
              </w:rPr>
              <w:t>Introduce timing, certainty and contents as variables and ask which matters most</w:t>
            </w:r>
          </w:p>
        </w:tc>
      </w:tr>
      <w:tr>
        <w:trPr>
          <w:cantSplit/>
        </w:trPr>
        <w:tc>
          <w:tcPr>
            <w:tcW w:type="dxa" w:w="2398"/>
          </w:tcPr>
          <w:p>
            <w:pPr>
              <w:spacing w:after="0" w:line="240" w:lineRule="auto"/>
            </w:pPr>
            <w:r>
              <w:rPr>
                <w:sz w:val="18"/>
              </w:rPr>
              <w:t>Information asymmetry; protecting reservation point</w:t>
            </w:r>
          </w:p>
        </w:tc>
        <w:tc>
          <w:tcPr>
            <w:tcW w:type="dxa" w:w="1624"/>
          </w:tcPr>
          <w:p>
            <w:pPr>
              <w:spacing w:after="0" w:line="240" w:lineRule="auto"/>
            </w:pPr>
            <w:r>
              <w:rPr>
                <w:sz w:val="18"/>
              </w:rPr>
              <w:t>Step 3 and Step 6</w:t>
            </w:r>
          </w:p>
        </w:tc>
        <w:tc>
          <w:tcPr>
            <w:tcW w:type="dxa" w:w="951"/>
          </w:tcPr>
          <w:p>
            <w:pPr>
              <w:spacing w:after="0" w:line="240" w:lineRule="auto"/>
            </w:pPr>
            <w:r>
              <w:rPr>
                <w:sz w:val="18"/>
              </w:rPr>
              <w:t>11</w:t>
            </w:r>
          </w:p>
        </w:tc>
        <w:tc>
          <w:tcPr>
            <w:tcW w:type="dxa" w:w="4055"/>
          </w:tcPr>
          <w:p>
            <w:pPr>
              <w:spacing w:after="0" w:line="240" w:lineRule="auto"/>
            </w:pPr>
            <w:r>
              <w:rPr>
                <w:sz w:val="18"/>
              </w:rPr>
              <w:t>Do not move to the maximum to “show seriousness”</w:t>
            </w:r>
          </w:p>
        </w:tc>
      </w:tr>
      <w:tr>
        <w:trPr>
          <w:cantSplit/>
        </w:trPr>
        <w:tc>
          <w:tcPr>
            <w:tcW w:type="dxa" w:w="2398"/>
            <w:shd w:val="clear" w:color="auto" w:fill="F3F6FA"/>
          </w:tcPr>
          <w:p>
            <w:pPr>
              <w:spacing w:after="0" w:line="240" w:lineRule="auto"/>
            </w:pPr>
            <w:r>
              <w:rPr>
                <w:sz w:val="18"/>
              </w:rPr>
              <w:t>Objective criteria; framing; active speaking</w:t>
            </w:r>
          </w:p>
        </w:tc>
        <w:tc>
          <w:tcPr>
            <w:tcW w:type="dxa" w:w="1624"/>
            <w:shd w:val="clear" w:color="auto" w:fill="F3F6FA"/>
          </w:tcPr>
          <w:p>
            <w:pPr>
              <w:spacing w:after="0" w:line="240" w:lineRule="auto"/>
            </w:pPr>
            <w:r>
              <w:rPr>
                <w:sz w:val="18"/>
              </w:rPr>
              <w:t>Step 4 – Criteria</w:t>
            </w:r>
          </w:p>
        </w:tc>
        <w:tc>
          <w:tcPr>
            <w:tcW w:type="dxa" w:w="951"/>
            <w:shd w:val="clear" w:color="auto" w:fill="F3F6FA"/>
          </w:tcPr>
          <w:p>
            <w:pPr>
              <w:spacing w:after="0" w:line="240" w:lineRule="auto"/>
            </w:pPr>
            <w:r>
              <w:rPr>
                <w:sz w:val="18"/>
              </w:rPr>
              <w:t>7</w:t>
            </w:r>
          </w:p>
        </w:tc>
        <w:tc>
          <w:tcPr>
            <w:tcW w:type="dxa" w:w="4055"/>
            <w:shd w:val="clear" w:color="auto" w:fill="F3F6FA"/>
          </w:tcPr>
          <w:p>
            <w:pPr>
              <w:spacing w:after="0" w:line="240" w:lineRule="auto"/>
            </w:pPr>
            <w:r>
              <w:rPr>
                <w:sz w:val="18"/>
              </w:rPr>
              <w:t>Acknowledge the concern, cite a few relevant comparables, link price to interests</w:t>
            </w:r>
          </w:p>
        </w:tc>
      </w:tr>
      <w:tr>
        <w:trPr>
          <w:cantSplit/>
        </w:trPr>
        <w:tc>
          <w:tcPr>
            <w:tcW w:type="dxa" w:w="2398"/>
          </w:tcPr>
          <w:p>
            <w:pPr>
              <w:spacing w:after="0" w:line="240" w:lineRule="auto"/>
            </w:pPr>
            <w:r>
              <w:rPr>
                <w:sz w:val="18"/>
              </w:rPr>
              <w:t>Credible commitments; no bluffing</w:t>
            </w:r>
          </w:p>
        </w:tc>
        <w:tc>
          <w:tcPr>
            <w:tcW w:type="dxa" w:w="1624"/>
          </w:tcPr>
          <w:p>
            <w:pPr>
              <w:spacing w:after="0" w:line="240" w:lineRule="auto"/>
            </w:pPr>
            <w:r>
              <w:rPr>
                <w:sz w:val="18"/>
              </w:rPr>
              <w:t>Step 4 – Criteria</w:t>
            </w:r>
          </w:p>
        </w:tc>
        <w:tc>
          <w:tcPr>
            <w:tcW w:type="dxa" w:w="951"/>
          </w:tcPr>
          <w:p>
            <w:pPr>
              <w:spacing w:after="0" w:line="240" w:lineRule="auto"/>
            </w:pPr>
            <w:r>
              <w:rPr>
                <w:sz w:val="18"/>
              </w:rPr>
              <w:t>12</w:t>
            </w:r>
          </w:p>
        </w:tc>
        <w:tc>
          <w:tcPr>
            <w:tcW w:type="dxa" w:w="4055"/>
          </w:tcPr>
          <w:p>
            <w:pPr>
              <w:spacing w:after="0" w:line="240" w:lineRule="auto"/>
            </w:pPr>
            <w:r>
              <w:rPr>
                <w:sz w:val="18"/>
              </w:rPr>
              <w:t>Never call an offer “final” unless I will act on it</w:t>
            </w:r>
          </w:p>
        </w:tc>
      </w:tr>
      <w:tr>
        <w:trPr>
          <w:cantSplit/>
        </w:trPr>
        <w:tc>
          <w:tcPr>
            <w:tcW w:type="dxa" w:w="2398"/>
            <w:shd w:val="clear" w:color="auto" w:fill="F3F6FA"/>
          </w:tcPr>
          <w:p>
            <w:pPr>
              <w:spacing w:after="0" w:line="240" w:lineRule="auto"/>
            </w:pPr>
            <w:r>
              <w:rPr>
                <w:sz w:val="18"/>
              </w:rPr>
              <w:t>Mandate; stakeholders away from the table</w:t>
            </w:r>
          </w:p>
        </w:tc>
        <w:tc>
          <w:tcPr>
            <w:tcW w:type="dxa" w:w="1624"/>
            <w:shd w:val="clear" w:color="auto" w:fill="F3F6FA"/>
          </w:tcPr>
          <w:p>
            <w:pPr>
              <w:spacing w:after="0" w:line="240" w:lineRule="auto"/>
            </w:pPr>
            <w:r>
              <w:rPr>
                <w:sz w:val="18"/>
              </w:rPr>
              <w:t>Step 5 – Process / stakeholders</w:t>
            </w:r>
          </w:p>
        </w:tc>
        <w:tc>
          <w:tcPr>
            <w:tcW w:type="dxa" w:w="951"/>
            <w:shd w:val="clear" w:color="auto" w:fill="F3F6FA"/>
          </w:tcPr>
          <w:p>
            <w:pPr>
              <w:spacing w:after="0" w:line="240" w:lineRule="auto"/>
            </w:pPr>
            <w:r>
              <w:rPr>
                <w:sz w:val="18"/>
              </w:rPr>
              <w:t>8, 9</w:t>
            </w:r>
          </w:p>
        </w:tc>
        <w:tc>
          <w:tcPr>
            <w:tcW w:type="dxa" w:w="4055"/>
            <w:shd w:val="clear" w:color="auto" w:fill="F3F6FA"/>
          </w:tcPr>
          <w:p>
            <w:pPr>
              <w:spacing w:after="0" w:line="240" w:lineRule="auto"/>
            </w:pPr>
            <w:r>
              <w:rPr>
                <w:sz w:val="18"/>
              </w:rPr>
              <w:t>Clarify who approves, what they need, and set a written next step</w:t>
            </w:r>
          </w:p>
        </w:tc>
      </w:tr>
      <w:tr>
        <w:trPr>
          <w:cantSplit/>
        </w:trPr>
        <w:tc>
          <w:tcPr>
            <w:tcW w:type="dxa" w:w="2398"/>
          </w:tcPr>
          <w:p>
            <w:pPr>
              <w:spacing w:after="0" w:line="240" w:lineRule="auto"/>
            </w:pPr>
            <w:r>
              <w:rPr>
                <w:sz w:val="18"/>
              </w:rPr>
              <w:t>Process design and consolidation</w:t>
            </w:r>
          </w:p>
        </w:tc>
        <w:tc>
          <w:tcPr>
            <w:tcW w:type="dxa" w:w="1624"/>
          </w:tcPr>
          <w:p>
            <w:pPr>
              <w:spacing w:after="0" w:line="240" w:lineRule="auto"/>
            </w:pPr>
            <w:r>
              <w:rPr>
                <w:sz w:val="18"/>
              </w:rPr>
              <w:t>Step 5 – Process / stakeholders</w:t>
            </w:r>
          </w:p>
        </w:tc>
        <w:tc>
          <w:tcPr>
            <w:tcW w:type="dxa" w:w="951"/>
          </w:tcPr>
          <w:p>
            <w:pPr>
              <w:spacing w:after="0" w:line="240" w:lineRule="auto"/>
            </w:pPr>
            <w:r>
              <w:rPr>
                <w:sz w:val="18"/>
              </w:rPr>
              <w:t>9</w:t>
            </w:r>
          </w:p>
        </w:tc>
        <w:tc>
          <w:tcPr>
            <w:tcW w:type="dxa" w:w="4055"/>
          </w:tcPr>
          <w:p>
            <w:pPr>
              <w:spacing w:after="0" w:line="240" w:lineRule="auto"/>
            </w:pPr>
            <w:r>
              <w:rPr>
                <w:sz w:val="18"/>
              </w:rPr>
              <w:t>Summarise the package in writing; one text, not many loose threads</w:t>
            </w:r>
          </w:p>
        </w:tc>
      </w:tr>
      <w:tr>
        <w:trPr>
          <w:cantSplit/>
        </w:trPr>
        <w:tc>
          <w:tcPr>
            <w:tcW w:type="dxa" w:w="2398"/>
            <w:shd w:val="clear" w:color="auto" w:fill="F3F6FA"/>
          </w:tcPr>
          <w:p>
            <w:pPr>
              <w:spacing w:after="0" w:line="240" w:lineRule="auto"/>
            </w:pPr>
            <w:r>
              <w:rPr>
                <w:sz w:val="18"/>
              </w:rPr>
              <w:t>Package vs BATNA; conditional concessions</w:t>
            </w:r>
          </w:p>
        </w:tc>
        <w:tc>
          <w:tcPr>
            <w:tcW w:type="dxa" w:w="1624"/>
            <w:shd w:val="clear" w:color="auto" w:fill="F3F6FA"/>
          </w:tcPr>
          <w:p>
            <w:pPr>
              <w:spacing w:after="0" w:line="240" w:lineRule="auto"/>
            </w:pPr>
            <w:r>
              <w:rPr>
                <w:sz w:val="18"/>
              </w:rPr>
              <w:t>Step 6 – Final package</w:t>
            </w:r>
          </w:p>
        </w:tc>
        <w:tc>
          <w:tcPr>
            <w:tcW w:type="dxa" w:w="951"/>
            <w:shd w:val="clear" w:color="auto" w:fill="F3F6FA"/>
          </w:tcPr>
          <w:p>
            <w:pPr>
              <w:spacing w:after="0" w:line="240" w:lineRule="auto"/>
            </w:pPr>
            <w:r>
              <w:rPr>
                <w:sz w:val="18"/>
              </w:rPr>
              <w:t>10, 11</w:t>
            </w:r>
          </w:p>
        </w:tc>
        <w:tc>
          <w:tcPr>
            <w:tcW w:type="dxa" w:w="4055"/>
            <w:shd w:val="clear" w:color="auto" w:fill="F3F6FA"/>
          </w:tcPr>
          <w:p>
            <w:pPr>
              <w:spacing w:after="0" w:line="240" w:lineRule="auto"/>
            </w:pPr>
            <w:r>
              <w:rPr>
                <w:sz w:val="18"/>
              </w:rPr>
              <w:t>Price below target-plus-margin, linked to timing, certainty and contents the seller values</w:t>
            </w:r>
          </w:p>
        </w:tc>
      </w:tr>
      <w:tr>
        <w:trPr>
          <w:cantSplit/>
        </w:trPr>
        <w:tc>
          <w:tcPr>
            <w:tcW w:type="dxa" w:w="2398"/>
          </w:tcPr>
          <w:p>
            <w:pPr>
              <w:spacing w:after="0" w:line="240" w:lineRule="auto"/>
            </w:pPr>
            <w:r>
              <w:rPr>
                <w:sz w:val="18"/>
              </w:rPr>
              <w:t>Learning from experience</w:t>
            </w:r>
          </w:p>
        </w:tc>
        <w:tc>
          <w:tcPr>
            <w:tcW w:type="dxa" w:w="1624"/>
          </w:tcPr>
          <w:p>
            <w:pPr>
              <w:spacing w:after="0" w:line="240" w:lineRule="auto"/>
            </w:pPr>
            <w:r>
              <w:rPr>
                <w:sz w:val="18"/>
              </w:rPr>
              <w:t>Debrief</w:t>
            </w:r>
          </w:p>
        </w:tc>
        <w:tc>
          <w:tcPr>
            <w:tcW w:type="dxa" w:w="951"/>
          </w:tcPr>
          <w:p>
            <w:pPr>
              <w:spacing w:after="0" w:line="240" w:lineRule="auto"/>
            </w:pPr>
            <w:r>
              <w:rPr>
                <w:sz w:val="18"/>
              </w:rPr>
              <w:t>14, 15, 17</w:t>
            </w:r>
          </w:p>
        </w:tc>
        <w:tc>
          <w:tcPr>
            <w:tcW w:type="dxa" w:w="4055"/>
          </w:tcPr>
          <w:p>
            <w:pPr>
              <w:spacing w:after="0" w:line="240" w:lineRule="auto"/>
            </w:pPr>
            <w:r>
              <w:rPr>
                <w:sz w:val="18"/>
              </w:rPr>
              <w:t>Name the assumption the run challenged and what I would change</w:t>
            </w:r>
          </w:p>
        </w:tc>
      </w:tr>
    </w:tbl>
    <w:p>
      <w:pPr>
        <w:spacing w:after="0" w:line="144" w:lineRule="auto"/>
      </w:pPr>
      <w:r>
        <w:rPr>
          <w:sz w:val="8"/>
        </w:rPr>
        <w:t xml:space="preserve"> </w:t>
      </w:r>
    </w:p>
    <w:p>
      <w:pPr>
        <w:pStyle w:val="Heading1"/>
      </w:pPr>
      <w:r>
        <w:t>Part 1 – My Starting Point as a Negotiator</w:t>
      </w:r>
    </w:p>
    <w:p>
      <w:r>
        <w:rPr>
          <w:b/>
        </w:rPr>
        <w:t>The moment.</w:t>
      </w:r>
      <w:r>
        <w:t xml:space="preserve"> Before BMS5410, my approach to negotiation was largely transactional and price-driven. In a property negotiation, I would normally ask for the price and then try to bargain it down. I was generally friendly, but the substance remained positional: I concentrated on the asking price, the discount I could obtain and whether the seller would move.</w:t>
      </w:r>
    </w:p>
    <w:p>
      <w:r>
        <w:t>At that stage, I tended to define a successful negotiation as getting a large discount from the asking price. I did not systematically calculate my BATNA, reservation point, target and opening offer as separate concepts. The visible number dominated my attention. In hindsight, this made the seller’s number my reference point: every judgement I made was relative to it, which meant the seller had effectively set the frame before I had said anything.</w:t>
      </w:r>
    </w:p>
    <w:p>
      <w:r>
        <w:rPr>
          <w:b/>
        </w:rPr>
        <w:t>The concept.</w:t>
      </w:r>
      <w:r>
        <w:t xml:space="preserve"> The Week 3 material distinguishes the first offer or anchor, the target and the reservation price, and warns that an offer without preparation can anchor too high or too low (Chao, 2026, Week 3). Fisher, Ury and Patton (1991) make a related point in their opening chapter: bargaining over positions tends to lock negotiators into defending those positions, so that the more one clarifies and defends a position, the more committed one becomes to it. A seller’s S$1.80m asking price is a position. It does not tell me whether the seller needs a particular net amount, wants certainty, needs fast completion, has another purchase to fund, or is mainly testing the market.</w:t>
      </w:r>
    </w:p>
    <w:p>
      <w:r>
        <w:rPr>
          <w:b/>
        </w:rPr>
        <w:t>Critical question.</w:t>
      </w:r>
      <w:r>
        <w:t xml:space="preserve"> Was my discount-seeking actually wrong? Not entirely. Price matters, and in many residential transactions it is the single largest term. The problem was not that I cared about price, but that I treated price as the only lens. A discount measured against an asking price that was set arbitrarily high is not evidence of a good outcome; it may simply be evidence that the seller anchored well. The more uncomfortable realisation is that a discount-focused mindset is easy to manipulate: a seller who understands my habit can inflate the asking price, “give” me a discount, and leave me feeling successful.</w:t>
      </w:r>
    </w:p>
    <w:p>
      <w:r>
        <w:rPr>
          <w:b/>
        </w:rPr>
        <w:t>Application.</w:t>
      </w:r>
      <w:r>
        <w:t xml:space="preserve"> Once I ask why, additional variables can appear: completion date, certainty of financing, the condition in which the unit is handed over, furniture, and the seller’s next transaction. My thinking has therefore shifted from “How much discount can I get?” to “What do I need to understand before I make my next move?” In practice, my first three questions to a seller’s agent would now be about timing, the seller’s reason for selling and what has happened with previous interest – before any number is mentioned.</w:t>
      </w:r>
    </w:p>
    <w:p>
      <w:pPr>
        <w:pBdr>
          <w:left w:val="single" w:sz="24" w:space="6" w:color="A86E17"/>
        </w:pBdr>
        <w:shd w:val="clear" w:color="auto" w:fill="FFF7E7"/>
        <w:spacing w:before="80" w:after="160"/>
      </w:pPr>
      <w:r>
        <w:rPr>
          <w:b/>
          <w:color w:val="A86E17"/>
        </w:rPr>
        <w:t>My Rule #1:</w:t>
      </w:r>
      <w:r>
        <w:rPr>
          <w:b/>
        </w:rPr>
        <w:t xml:space="preserve"> Do not begin with ‘How much discount can I get?’ Begin with ‘What do I need to understand before I make my next move?’</w:t>
      </w:r>
    </w:p>
    <w:p>
      <w:pPr>
        <w:pStyle w:val="Heading1"/>
      </w:pPr>
      <w:r>
        <w:t>Part 2 – Perception, Assumptions and Looking for Another Deal</w:t>
      </w:r>
    </w:p>
    <w:p>
      <w:r>
        <w:rPr>
          <w:b/>
        </w:rPr>
        <w:t>The moment.</w:t>
      </w:r>
      <w:r>
        <w:t xml:space="preserve"> When a seller would not give enough discount, my instinct was to look for another deal at a better price. That instinct had a useful side: I was not necessarily emotionally committed to one transaction. However, I now recognise that I could move on before diagnosing why the current deal appeared impossible.</w:t>
      </w:r>
    </w:p>
    <w:p>
      <w:pPr>
        <w:pStyle w:val="Heading2"/>
      </w:pPr>
      <w:r>
        <w:t>Tension vignette: almost walking away without diagnosing</w:t>
      </w:r>
    </w:p>
    <w:p>
      <w:r>
        <w:rPr>
          <w:i/>
        </w:rPr>
        <w:t>Illustrative vignette, reconstructed from my habitual pattern rather than a verbatim record of one dated event.</w:t>
      </w:r>
    </w:p>
    <w:p>
      <w:r>
        <w:t>A seller’s agent relays that the owner has “rejected the offer and will not go below the asking price”. My chest tightens slightly – not because the money is lost, but because I feel I have been dismissed. Within a minute I have built a story: the seller is greedy, the agent is not really trying, the market will correct, and I have other options. I reply politely that I will “keep looking”. It feels disciplined, even mature.</w:t>
      </w:r>
    </w:p>
    <w:p>
      <w:r>
        <w:t>What I did not do in that moment was ask a single question. I did not know whether the seller had another purchase whose timing mattered more than the final S$20,000. I did not know whether the rejection was the seller’s view or the agent’s summary. I did not know whether the seller’s spouse had a different number in mind. My exit was not a BATNA decision; it was an emotional reaction dressed up as discipline. The uncomfortable lesson is that “walking away” can be just as unprepared as “giving in”. Both can happen without diagnosis.</w:t>
      </w:r>
    </w:p>
    <w:p>
      <w:r>
        <w:rPr>
          <w:b/>
        </w:rPr>
        <w:t>The concept.</w:t>
      </w:r>
      <w:r>
        <w:t xml:space="preserve"> Week 1 introduced partisan perceptions and the Ladder of Inference. The course warns that people often attribute negative impact to the other side’s bad intentions, even though intention and impact may be very different. It encourages the negotiator to consider the other perspective, give the benefit of the doubt and ask how one’s own message will be perceived (Chao, 2026, Week 1). In the vignette, the observable data was one sentence relayed by an agent. Everything above that – “greedy”, “not trying”, “no room” – was my own climb up the ladder.</w:t>
      </w:r>
    </w:p>
    <w:p>
      <w:r>
        <w:rPr>
          <w:b/>
        </w:rPr>
        <w:t>Critical question.</w:t>
      </w:r>
      <w:r>
        <w:t xml:space="preserve"> Is giving the benefit of the doubt naive? In a competitive property market, some sellers really are testing the market with no intention of moving. The point is not to assume good intentions instead of bad ones; it is to treat both as hypotheses to be tested. A cheap test – one question to the agent about timing or constraints – costs me very little. Not testing could cost me the best available deal.</w:t>
      </w:r>
    </w:p>
    <w:p>
      <w:r>
        <w:rPr>
          <w:b/>
        </w:rPr>
        <w:t>Application.</w:t>
      </w:r>
      <w:r>
        <w:t xml:space="preserve"> Applied to my property example, the observable fact may simply be that the seller rejected my current offer. A better response is to test the inference: Is price really the only issue? Is the seller constrained by another purchase? Does timing matter? Is there another decision-maker? My developing approach separates diagnosis from exit. First I investigate whether the negotiation can be restructured. Then I compare the best achievable package against my alternative. This turns “find another deal” from a reactive response into a BATNA decision.</w:t>
      </w:r>
    </w:p>
    <w:p>
      <w:pPr>
        <w:pBdr>
          <w:left w:val="single" w:sz="24" w:space="6" w:color="A86E17"/>
        </w:pBdr>
        <w:shd w:val="clear" w:color="auto" w:fill="FFF7E7"/>
        <w:spacing w:before="80" w:after="160"/>
      </w:pPr>
      <w:r>
        <w:rPr>
          <w:b/>
          <w:color w:val="A86E17"/>
        </w:rPr>
        <w:t>My Rule #2:</w:t>
      </w:r>
      <w:r>
        <w:rPr>
          <w:b/>
        </w:rPr>
        <w:t xml:space="preserve"> Do not walk away because I assume there is no deal. First understand the interests, then compare the best possible agreement against my BATNA.</w:t>
      </w:r>
    </w:p>
    <w:p>
      <w:pPr>
        <w:pStyle w:val="Heading1"/>
      </w:pPr>
      <w:r>
        <w:t>Part 3 – Anchoring: How Low Should My First Offer Be?</w:t>
      </w:r>
    </w:p>
    <w:p>
      <w:r>
        <w:rPr>
          <w:b/>
        </w:rPr>
        <w:t>The moment.</w:t>
      </w:r>
      <w:r>
        <w:t xml:space="preserve"> If a property is asking S$1.80m, my instinct may be to offer around S$1.50m to bring the anchor down. This shows that I intuitively understood the anchoring effect before I had a complete framework for using it.</w:t>
      </w:r>
    </w:p>
    <w:p>
      <w:r>
        <w:rPr>
          <w:b/>
        </w:rPr>
        <w:t>The concept.</w:t>
      </w:r>
      <w:r>
        <w:t xml:space="preserve"> S$1.50m is about 16.7% below S$1.80m. If market evidence strongly supports a value near the asking price, the seller could interpret the offer as non-serious. My intention may be to create bargaining room, while the seller may perceive disrespect or wasted time. Week 1’s perception lesson therefore interacts directly with Week 3’s anchoring lesson. Malhotra and Bazerman (2007) add a useful nuance: making the first offer can be advantageous because anchors pull final outcomes towards them, but the advantage depends on having enough information. When I know little about the other side’s reservation point, an aggressive first number risks either insulting them or, worse, under-anchoring and leaving value behind.</w:t>
      </w:r>
    </w:p>
    <w:p>
      <w:r>
        <w:rPr>
          <w:b/>
        </w:rPr>
        <w:t>Critical question.</w:t>
      </w:r>
      <w:r>
        <w:t xml:space="preserve"> In my case, the seller has already anchored at S$1.80m. Is my S$1.50m really a “first offer”, or is it a counter-anchor? I think it is the latter, and that changes its function. A counter-anchor is less about setting the frame and more about preventing the seller’s frame from becoming the only reference point. Malhotra and Bazerman suggest that when the other side anchors first, one should avoid letting that number dominate the discussion and re-anchor with one’s own reasoned proposal rather than merely reacting to theirs. That is a different reason for an ambitious number from the one I used to have, which was simply “start low so I can move up”.</w:t>
      </w:r>
    </w:p>
    <w:p>
      <w:r>
        <w:rPr>
          <w:b/>
        </w:rPr>
        <w:t>Application.</w:t>
      </w:r>
      <w:r>
        <w:t xml:space="preserve"> An ambitious first offer can still be useful, but it should be supported. I could acknowledge the asking price, explain that my assessment requires a lower starting point, refer to comparable transactions or condition, and signal genuine ability to transact. The key distinction for me is between an arbitrary lowball and an ambitious but defensible anchor. I should know my target, reservation point and BATNA before choosing the opening number. In the lab, I deliberately made the “counter immediately at S$1.70m” option score poorly at Step 1: not because S$1.70m is an unreasonable number, but because countering before diagnosing wastes the chance to learn.</w:t>
      </w:r>
    </w:p>
    <w:p>
      <w:pPr>
        <w:keepNext/>
        <w:spacing w:before="120" w:after="60"/>
      </w:pPr>
      <w:r>
        <w:rPr>
          <w:b/>
          <w:color w:val="173B67"/>
          <w:sz w:val="20"/>
        </w:rPr>
        <w:t>Table 4. My preparation sheet before choosing an opening number (blank by design)</w:t>
      </w:r>
    </w:p>
    <w:tbl>
      <w:tblPr>
        <w:tblStyle w:val="TableGrid"/>
        <w:tblW w:type="auto" w:w="0"/>
        <w:jc w:val="center"/>
        <w:tblLook w:firstColumn="1" w:firstRow="1" w:lastColumn="0" w:lastRow="0" w:noHBand="0" w:noVBand="1" w:val="04A0"/>
        <w:tblLayout w:type="fixed"/>
      </w:tblPr>
      <w:tblGrid>
        <w:gridCol w:w="5268"/>
        <w:gridCol w:w="3760"/>
      </w:tblGrid>
      <w:tr>
        <w:trPr>
          <w:cantSplit/>
          <w:tblHeader w:val="true"/>
        </w:trPr>
        <w:tc>
          <w:tcPr>
            <w:tcW w:type="dxa" w:w="5268"/>
            <w:shd w:val="clear" w:color="auto" w:fill="173B67"/>
          </w:tcPr>
          <w:p>
            <w:pPr>
              <w:spacing w:after="0" w:line="240" w:lineRule="auto"/>
            </w:pPr>
            <w:r>
              <w:rPr>
                <w:b/>
                <w:color w:val="FFFFFF"/>
                <w:sz w:val="18"/>
              </w:rPr>
              <w:t>Preparation item</w:t>
            </w:r>
          </w:p>
        </w:tc>
        <w:tc>
          <w:tcPr>
            <w:tcW w:type="dxa" w:w="3760"/>
            <w:shd w:val="clear" w:color="auto" w:fill="173B67"/>
          </w:tcPr>
          <w:p>
            <w:pPr>
              <w:spacing w:after="0" w:line="240" w:lineRule="auto"/>
            </w:pPr>
            <w:r>
              <w:rPr>
                <w:b/>
                <w:color w:val="FFFFFF"/>
                <w:sz w:val="18"/>
              </w:rPr>
              <w:t>Complete before negotiating</w:t>
            </w:r>
          </w:p>
        </w:tc>
      </w:tr>
      <w:tr>
        <w:trPr>
          <w:cantSplit/>
        </w:trPr>
        <w:tc>
          <w:tcPr>
            <w:tcW w:type="dxa" w:w="5268"/>
          </w:tcPr>
          <w:p>
            <w:pPr>
              <w:spacing w:after="0" w:line="240" w:lineRule="auto"/>
            </w:pPr>
            <w:r>
              <w:rPr>
                <w:sz w:val="18"/>
              </w:rPr>
              <w:t>Seller asking price</w:t>
            </w:r>
          </w:p>
        </w:tc>
        <w:tc>
          <w:tcPr>
            <w:tcW w:type="dxa" w:w="3760"/>
          </w:tcPr>
          <w:p>
            <w:pPr>
              <w:spacing w:after="0" w:line="240" w:lineRule="auto"/>
            </w:pPr>
            <w:r>
              <w:rPr>
                <w:sz w:val="18"/>
              </w:rPr>
              <w:t>S$1.80m in recurring example</w:t>
            </w:r>
          </w:p>
        </w:tc>
      </w:tr>
      <w:tr>
        <w:trPr>
          <w:cantSplit/>
        </w:trPr>
        <w:tc>
          <w:tcPr>
            <w:tcW w:type="dxa" w:w="5268"/>
            <w:shd w:val="clear" w:color="auto" w:fill="F3F6FA"/>
          </w:tcPr>
          <w:p>
            <w:pPr>
              <w:spacing w:after="0" w:line="240" w:lineRule="auto"/>
            </w:pPr>
            <w:r>
              <w:rPr>
                <w:sz w:val="18"/>
              </w:rPr>
              <w:t>Opening anchor</w:t>
            </w:r>
          </w:p>
        </w:tc>
        <w:tc>
          <w:tcPr>
            <w:tcW w:type="dxa" w:w="3760"/>
            <w:shd w:val="clear" w:color="auto" w:fill="F3F6FA"/>
          </w:tcPr>
          <w:p>
            <w:pPr>
              <w:spacing w:after="0" w:line="240" w:lineRule="auto"/>
            </w:pPr>
            <w:r>
              <w:rPr>
                <w:sz w:val="18"/>
              </w:rPr>
              <w:t>________</w:t>
            </w:r>
          </w:p>
        </w:tc>
      </w:tr>
      <w:tr>
        <w:trPr>
          <w:cantSplit/>
        </w:trPr>
        <w:tc>
          <w:tcPr>
            <w:tcW w:type="dxa" w:w="5268"/>
          </w:tcPr>
          <w:p>
            <w:pPr>
              <w:spacing w:after="0" w:line="240" w:lineRule="auto"/>
            </w:pPr>
            <w:r>
              <w:rPr>
                <w:sz w:val="18"/>
              </w:rPr>
              <w:t>Target</w:t>
            </w:r>
          </w:p>
        </w:tc>
        <w:tc>
          <w:tcPr>
            <w:tcW w:type="dxa" w:w="3760"/>
          </w:tcPr>
          <w:p>
            <w:pPr>
              <w:spacing w:after="0" w:line="240" w:lineRule="auto"/>
            </w:pPr>
            <w:r>
              <w:rPr>
                <w:sz w:val="18"/>
              </w:rPr>
              <w:t>________</w:t>
            </w:r>
          </w:p>
        </w:tc>
      </w:tr>
      <w:tr>
        <w:trPr>
          <w:cantSplit/>
        </w:trPr>
        <w:tc>
          <w:tcPr>
            <w:tcW w:type="dxa" w:w="5268"/>
            <w:shd w:val="clear" w:color="auto" w:fill="F3F6FA"/>
          </w:tcPr>
          <w:p>
            <w:pPr>
              <w:spacing w:after="0" w:line="240" w:lineRule="auto"/>
            </w:pPr>
            <w:r>
              <w:rPr>
                <w:sz w:val="18"/>
              </w:rPr>
              <w:t>Reservation point</w:t>
            </w:r>
          </w:p>
        </w:tc>
        <w:tc>
          <w:tcPr>
            <w:tcW w:type="dxa" w:w="3760"/>
            <w:shd w:val="clear" w:color="auto" w:fill="F3F6FA"/>
          </w:tcPr>
          <w:p>
            <w:pPr>
              <w:spacing w:after="0" w:line="240" w:lineRule="auto"/>
            </w:pPr>
            <w:r>
              <w:rPr>
                <w:sz w:val="18"/>
              </w:rPr>
              <w:t>________</w:t>
            </w:r>
          </w:p>
        </w:tc>
      </w:tr>
      <w:tr>
        <w:trPr>
          <w:cantSplit/>
        </w:trPr>
        <w:tc>
          <w:tcPr>
            <w:tcW w:type="dxa" w:w="5268"/>
          </w:tcPr>
          <w:p>
            <w:pPr>
              <w:spacing w:after="0" w:line="240" w:lineRule="auto"/>
            </w:pPr>
            <w:r>
              <w:rPr>
                <w:sz w:val="18"/>
              </w:rPr>
              <w:t>BATNA</w:t>
            </w:r>
          </w:p>
        </w:tc>
        <w:tc>
          <w:tcPr>
            <w:tcW w:type="dxa" w:w="3760"/>
          </w:tcPr>
          <w:p>
            <w:pPr>
              <w:spacing w:after="0" w:line="240" w:lineRule="auto"/>
            </w:pPr>
            <w:r>
              <w:rPr>
                <w:sz w:val="18"/>
              </w:rPr>
              <w:t>________</w:t>
            </w:r>
          </w:p>
        </w:tc>
      </w:tr>
      <w:tr>
        <w:trPr>
          <w:cantSplit/>
        </w:trPr>
        <w:tc>
          <w:tcPr>
            <w:tcW w:type="dxa" w:w="5268"/>
            <w:shd w:val="clear" w:color="auto" w:fill="F3F6FA"/>
          </w:tcPr>
          <w:p>
            <w:pPr>
              <w:spacing w:after="0" w:line="240" w:lineRule="auto"/>
            </w:pPr>
            <w:r>
              <w:rPr>
                <w:sz w:val="18"/>
              </w:rPr>
              <w:t>Value of BATNA (not only its price)</w:t>
            </w:r>
          </w:p>
        </w:tc>
        <w:tc>
          <w:tcPr>
            <w:tcW w:type="dxa" w:w="3760"/>
            <w:shd w:val="clear" w:color="auto" w:fill="F3F6FA"/>
          </w:tcPr>
          <w:p>
            <w:pPr>
              <w:spacing w:after="0" w:line="240" w:lineRule="auto"/>
            </w:pPr>
            <w:r>
              <w:rPr>
                <w:sz w:val="18"/>
              </w:rPr>
              <w:t>________</w:t>
            </w:r>
          </w:p>
        </w:tc>
      </w:tr>
      <w:tr>
        <w:trPr>
          <w:cantSplit/>
        </w:trPr>
        <w:tc>
          <w:tcPr>
            <w:tcW w:type="dxa" w:w="5268"/>
          </w:tcPr>
          <w:p>
            <w:pPr>
              <w:spacing w:after="0" w:line="240" w:lineRule="auto"/>
            </w:pPr>
            <w:r>
              <w:rPr>
                <w:sz w:val="18"/>
              </w:rPr>
              <w:t>Two objective criteria that justify my anchor</w:t>
            </w:r>
          </w:p>
        </w:tc>
        <w:tc>
          <w:tcPr>
            <w:tcW w:type="dxa" w:w="3760"/>
          </w:tcPr>
          <w:p>
            <w:pPr>
              <w:spacing w:after="0" w:line="240" w:lineRule="auto"/>
            </w:pPr>
            <w:r>
              <w:rPr>
                <w:sz w:val="18"/>
              </w:rPr>
              <w:t>________</w:t>
            </w:r>
          </w:p>
        </w:tc>
      </w:tr>
    </w:tbl>
    <w:p>
      <w:pPr>
        <w:spacing w:after="0" w:line="144" w:lineRule="auto"/>
      </w:pPr>
      <w:r>
        <w:rPr>
          <w:sz w:val="8"/>
        </w:rPr>
        <w:t xml:space="preserve"> </w:t>
      </w:r>
    </w:p>
    <w:p>
      <w:r>
        <w:rPr>
          <w:i/>
          <w:color w:val="556070"/>
          <w:sz w:val="19"/>
        </w:rPr>
        <w:t>I leave this sheet blank because my real numbers are private, and because the act of filling it in is the learning.</w:t>
      </w:r>
    </w:p>
    <w:p>
      <w:pPr>
        <w:pBdr>
          <w:left w:val="single" w:sz="24" w:space="6" w:color="A86E17"/>
        </w:pBdr>
        <w:shd w:val="clear" w:color="auto" w:fill="FFF7E7"/>
        <w:spacing w:before="80" w:after="160"/>
      </w:pPr>
      <w:r>
        <w:rPr>
          <w:b/>
          <w:color w:val="A86E17"/>
        </w:rPr>
        <w:t>My Rule #3:</w:t>
      </w:r>
      <w:r>
        <w:rPr>
          <w:b/>
        </w:rPr>
        <w:t xml:space="preserve"> Anchor ambitiously, but not arbitrarily. Know my BATNA, reservation point and target before deciding my first offer.</w:t>
      </w:r>
    </w:p>
    <w:p>
      <w:pPr>
        <w:pStyle w:val="Heading1"/>
      </w:pPr>
      <w:r>
        <w:t>Part 4 – Moving Beyond Price: Creating Value Through Other Conditions</w:t>
      </w:r>
    </w:p>
    <w:p>
      <w:r>
        <w:rPr>
          <w:b/>
        </w:rPr>
        <w:t>The moment.</w:t>
      </w:r>
      <w:r>
        <w:t xml:space="preserve"> Suppose the seller asks S$1.80m, I open at S$1.50m and the seller counters at S$1.75m. Previously, the negotiation could easily become a sequence of price movements: S$1.55m, S$1.72m, S$1.60m, S$1.70m, until someone suggests meeting in the middle.</w:t>
      </w:r>
    </w:p>
    <w:p>
      <w:r>
        <w:rPr>
          <w:b/>
        </w:rPr>
        <w:t>The concept.</w:t>
      </w:r>
      <w:r>
        <w:t xml:space="preserve"> The Week 3 material changed this by describing negotiation as a process of turning single-variable bargaining into multi-variable negotiation through Break, Link and Overlap (Chao, 2026, Week 3). Break means decomposing the negotiation into variables. Link means trading across them conditionally. Overlap means identifying compatible interests. Getting to Yes describes the same move as “inventing options for mutual gain” and warns against the assumption of a fixed pie (Fisher, Ury &amp; Patton, 1991). Malhotra and Bazerman (2007) name that assumption as a bias – the “mythical fixed pie” – which explains why my price-only habit felt natural: if I believe every dollar the seller gains is a dollar I lose, I will not look for differences in priorities.</w:t>
      </w:r>
    </w:p>
    <w:p>
      <w:pPr>
        <w:keepNext/>
        <w:spacing w:before="120" w:after="60"/>
      </w:pPr>
      <w:r>
        <w:rPr>
          <w:b/>
          <w:color w:val="173B67"/>
          <w:sz w:val="20"/>
        </w:rPr>
        <w:t>Table 5. Breaking the property deal into variables</w:t>
      </w:r>
    </w:p>
    <w:tbl>
      <w:tblPr>
        <w:tblStyle w:val="TableGrid"/>
        <w:tblW w:type="auto" w:w="0"/>
        <w:jc w:val="center"/>
        <w:tblLook w:firstColumn="1" w:firstRow="1" w:lastColumn="0" w:lastRow="0" w:noHBand="0" w:noVBand="1" w:val="04A0"/>
        <w:tblLayout w:type="fixed"/>
      </w:tblPr>
      <w:tblGrid>
        <w:gridCol w:w="1560"/>
        <w:gridCol w:w="2993"/>
        <w:gridCol w:w="4474"/>
      </w:tblGrid>
      <w:tr>
        <w:trPr>
          <w:cantSplit/>
          <w:tblHeader w:val="true"/>
        </w:trPr>
        <w:tc>
          <w:tcPr>
            <w:tcW w:type="dxa" w:w="1561"/>
            <w:shd w:val="clear" w:color="auto" w:fill="173B67"/>
          </w:tcPr>
          <w:p>
            <w:pPr>
              <w:spacing w:after="0" w:line="240" w:lineRule="auto"/>
            </w:pPr>
            <w:r>
              <w:rPr>
                <w:b/>
                <w:color w:val="FFFFFF"/>
                <w:sz w:val="18"/>
              </w:rPr>
              <w:t>Variable</w:t>
            </w:r>
          </w:p>
        </w:tc>
        <w:tc>
          <w:tcPr>
            <w:tcW w:type="dxa" w:w="2993"/>
            <w:shd w:val="clear" w:color="auto" w:fill="173B67"/>
          </w:tcPr>
          <w:p>
            <w:pPr>
              <w:spacing w:after="0" w:line="240" w:lineRule="auto"/>
            </w:pPr>
            <w:r>
              <w:rPr>
                <w:b/>
                <w:color w:val="FFFFFF"/>
                <w:sz w:val="18"/>
              </w:rPr>
              <w:t>Question I would ask</w:t>
            </w:r>
          </w:p>
        </w:tc>
        <w:tc>
          <w:tcPr>
            <w:tcW w:type="dxa" w:w="4474"/>
            <w:shd w:val="clear" w:color="auto" w:fill="173B67"/>
          </w:tcPr>
          <w:p>
            <w:pPr>
              <w:spacing w:after="0" w:line="240" w:lineRule="auto"/>
            </w:pPr>
            <w:r>
              <w:rPr>
                <w:b/>
                <w:color w:val="FFFFFF"/>
                <w:sz w:val="18"/>
              </w:rPr>
              <w:t>Who might value it more?</w:t>
            </w:r>
          </w:p>
        </w:tc>
      </w:tr>
      <w:tr>
        <w:trPr>
          <w:cantSplit/>
        </w:trPr>
        <w:tc>
          <w:tcPr>
            <w:tcW w:type="dxa" w:w="1561"/>
          </w:tcPr>
          <w:p>
            <w:pPr>
              <w:spacing w:after="0" w:line="240" w:lineRule="auto"/>
            </w:pPr>
            <w:r>
              <w:rPr>
                <w:sz w:val="18"/>
              </w:rPr>
              <w:t>Price</w:t>
            </w:r>
          </w:p>
        </w:tc>
        <w:tc>
          <w:tcPr>
            <w:tcW w:type="dxa" w:w="2993"/>
          </w:tcPr>
          <w:p>
            <w:pPr>
              <w:spacing w:after="0" w:line="240" w:lineRule="auto"/>
            </w:pPr>
            <w:r>
              <w:rPr>
                <w:sz w:val="18"/>
              </w:rPr>
              <w:t>What price is workable?</w:t>
            </w:r>
          </w:p>
        </w:tc>
        <w:tc>
          <w:tcPr>
            <w:tcW w:type="dxa" w:w="4474"/>
          </w:tcPr>
          <w:p>
            <w:pPr>
              <w:spacing w:after="0" w:line="240" w:lineRule="auto"/>
            </w:pPr>
            <w:r>
              <w:rPr>
                <w:sz w:val="18"/>
              </w:rPr>
              <w:t>Both, but not equally at every level</w:t>
            </w:r>
          </w:p>
        </w:tc>
      </w:tr>
      <w:tr>
        <w:trPr>
          <w:cantSplit/>
        </w:trPr>
        <w:tc>
          <w:tcPr>
            <w:tcW w:type="dxa" w:w="1561"/>
            <w:shd w:val="clear" w:color="auto" w:fill="F3F6FA"/>
          </w:tcPr>
          <w:p>
            <w:pPr>
              <w:spacing w:after="0" w:line="240" w:lineRule="auto"/>
            </w:pPr>
            <w:r>
              <w:rPr>
                <w:sz w:val="18"/>
              </w:rPr>
              <w:t>Completion</w:t>
            </w:r>
          </w:p>
        </w:tc>
        <w:tc>
          <w:tcPr>
            <w:tcW w:type="dxa" w:w="2993"/>
            <w:shd w:val="clear" w:color="auto" w:fill="F3F6FA"/>
          </w:tcPr>
          <w:p>
            <w:pPr>
              <w:spacing w:after="0" w:line="240" w:lineRule="auto"/>
            </w:pPr>
            <w:r>
              <w:rPr>
                <w:sz w:val="18"/>
              </w:rPr>
              <w:t>Fast or delayed?</w:t>
            </w:r>
          </w:p>
        </w:tc>
        <w:tc>
          <w:tcPr>
            <w:tcW w:type="dxa" w:w="4474"/>
            <w:shd w:val="clear" w:color="auto" w:fill="F3F6FA"/>
          </w:tcPr>
          <w:p>
            <w:pPr>
              <w:spacing w:after="0" w:line="240" w:lineRule="auto"/>
            </w:pPr>
            <w:r>
              <w:rPr>
                <w:sz w:val="18"/>
              </w:rPr>
              <w:t>Seller with another purchase; me if I can flex</w:t>
            </w:r>
          </w:p>
        </w:tc>
      </w:tr>
      <w:tr>
        <w:trPr>
          <w:cantSplit/>
        </w:trPr>
        <w:tc>
          <w:tcPr>
            <w:tcW w:type="dxa" w:w="1561"/>
          </w:tcPr>
          <w:p>
            <w:pPr>
              <w:spacing w:after="0" w:line="240" w:lineRule="auto"/>
            </w:pPr>
            <w:r>
              <w:rPr>
                <w:sz w:val="18"/>
              </w:rPr>
              <w:t>Certainty</w:t>
            </w:r>
          </w:p>
        </w:tc>
        <w:tc>
          <w:tcPr>
            <w:tcW w:type="dxa" w:w="2993"/>
          </w:tcPr>
          <w:p>
            <w:pPr>
              <w:spacing w:after="0" w:line="240" w:lineRule="auto"/>
            </w:pPr>
            <w:r>
              <w:rPr>
                <w:sz w:val="18"/>
              </w:rPr>
              <w:t>How important is closing certainty?</w:t>
            </w:r>
          </w:p>
        </w:tc>
        <w:tc>
          <w:tcPr>
            <w:tcW w:type="dxa" w:w="4474"/>
          </w:tcPr>
          <w:p>
            <w:pPr>
              <w:spacing w:after="0" w:line="240" w:lineRule="auto"/>
            </w:pPr>
            <w:r>
              <w:rPr>
                <w:sz w:val="18"/>
              </w:rPr>
              <w:t>Seller who has had a failed buyer before</w:t>
            </w:r>
          </w:p>
        </w:tc>
      </w:tr>
      <w:tr>
        <w:trPr>
          <w:cantSplit/>
        </w:trPr>
        <w:tc>
          <w:tcPr>
            <w:tcW w:type="dxa" w:w="1561"/>
            <w:shd w:val="clear" w:color="auto" w:fill="F3F6FA"/>
          </w:tcPr>
          <w:p>
            <w:pPr>
              <w:spacing w:after="0" w:line="240" w:lineRule="auto"/>
            </w:pPr>
            <w:r>
              <w:rPr>
                <w:sz w:val="18"/>
              </w:rPr>
              <w:t>Financing</w:t>
            </w:r>
          </w:p>
        </w:tc>
        <w:tc>
          <w:tcPr>
            <w:tcW w:type="dxa" w:w="2993"/>
            <w:shd w:val="clear" w:color="auto" w:fill="F3F6FA"/>
          </w:tcPr>
          <w:p>
            <w:pPr>
              <w:spacing w:after="0" w:line="240" w:lineRule="auto"/>
            </w:pPr>
            <w:r>
              <w:rPr>
                <w:sz w:val="18"/>
              </w:rPr>
              <w:t>Would proof reduce concern?</w:t>
            </w:r>
          </w:p>
        </w:tc>
        <w:tc>
          <w:tcPr>
            <w:tcW w:type="dxa" w:w="4474"/>
            <w:shd w:val="clear" w:color="auto" w:fill="F3F6FA"/>
          </w:tcPr>
          <w:p>
            <w:pPr>
              <w:spacing w:after="0" w:line="240" w:lineRule="auto"/>
            </w:pPr>
            <w:r>
              <w:rPr>
                <w:sz w:val="18"/>
              </w:rPr>
              <w:t>Seller; costs me little if already approved</w:t>
            </w:r>
          </w:p>
        </w:tc>
      </w:tr>
      <w:tr>
        <w:trPr>
          <w:cantSplit/>
        </w:trPr>
        <w:tc>
          <w:tcPr>
            <w:tcW w:type="dxa" w:w="1561"/>
          </w:tcPr>
          <w:p>
            <w:pPr>
              <w:spacing w:after="0" w:line="240" w:lineRule="auto"/>
            </w:pPr>
            <w:r>
              <w:rPr>
                <w:sz w:val="18"/>
              </w:rPr>
              <w:t>Furniture/condition</w:t>
            </w:r>
          </w:p>
        </w:tc>
        <w:tc>
          <w:tcPr>
            <w:tcW w:type="dxa" w:w="2993"/>
          </w:tcPr>
          <w:p>
            <w:pPr>
              <w:spacing w:after="0" w:line="240" w:lineRule="auto"/>
            </w:pPr>
            <w:r>
              <w:rPr>
                <w:sz w:val="18"/>
              </w:rPr>
              <w:t>Can these be traded?</w:t>
            </w:r>
          </w:p>
        </w:tc>
        <w:tc>
          <w:tcPr>
            <w:tcW w:type="dxa" w:w="4474"/>
          </w:tcPr>
          <w:p>
            <w:pPr>
              <w:spacing w:after="0" w:line="240" w:lineRule="auto"/>
            </w:pPr>
            <w:r>
              <w:rPr>
                <w:sz w:val="18"/>
              </w:rPr>
              <w:t>Seller who is attached to items; me if I plan to renovate</w:t>
            </w:r>
          </w:p>
        </w:tc>
      </w:tr>
      <w:tr>
        <w:trPr>
          <w:cantSplit/>
        </w:trPr>
        <w:tc>
          <w:tcPr>
            <w:tcW w:type="dxa" w:w="1561"/>
            <w:shd w:val="clear" w:color="auto" w:fill="F3F6FA"/>
          </w:tcPr>
          <w:p>
            <w:pPr>
              <w:spacing w:after="0" w:line="240" w:lineRule="auto"/>
            </w:pPr>
            <w:r>
              <w:rPr>
                <w:sz w:val="18"/>
              </w:rPr>
              <w:t>Payment timing</w:t>
            </w:r>
          </w:p>
        </w:tc>
        <w:tc>
          <w:tcPr>
            <w:tcW w:type="dxa" w:w="2993"/>
            <w:shd w:val="clear" w:color="auto" w:fill="F3F6FA"/>
          </w:tcPr>
          <w:p>
            <w:pPr>
              <w:spacing w:after="0" w:line="240" w:lineRule="auto"/>
            </w:pPr>
            <w:r>
              <w:rPr>
                <w:sz w:val="18"/>
              </w:rPr>
              <w:t>Any cash-flow constraints?</w:t>
            </w:r>
          </w:p>
        </w:tc>
        <w:tc>
          <w:tcPr>
            <w:tcW w:type="dxa" w:w="4474"/>
            <w:shd w:val="clear" w:color="auto" w:fill="F3F6FA"/>
          </w:tcPr>
          <w:p>
            <w:pPr>
              <w:spacing w:after="0" w:line="240" w:lineRule="auto"/>
            </w:pPr>
            <w:r>
              <w:rPr>
                <w:sz w:val="18"/>
              </w:rPr>
              <w:t>Seller funding a next purchase</w:t>
            </w:r>
          </w:p>
        </w:tc>
      </w:tr>
    </w:tbl>
    <w:p>
      <w:pPr>
        <w:spacing w:after="0" w:line="144" w:lineRule="auto"/>
      </w:pPr>
      <w:r>
        <w:rPr>
          <w:sz w:val="8"/>
        </w:rPr>
        <w:t xml:space="preserve"> </w:t>
      </w:r>
    </w:p>
    <w:p>
      <w:r>
        <w:rPr>
          <w:b/>
        </w:rPr>
        <w:t>Critical question.</w:t>
      </w:r>
      <w:r>
        <w:t xml:space="preserve"> Is multi-variable negotiation always better? Not automatically. Adding variables can create value, but it can also create confusion, allow a sophisticated counterpart to hide concessions in complexity, or make the deal harder to compare against my BATNA. The discipline I need is to add variables that reflect real differences in priority, and then to evaluate the whole package against my alternative – not to add variables for their own sake.</w:t>
      </w:r>
    </w:p>
    <w:p>
      <w:r>
        <w:rPr>
          <w:b/>
        </w:rPr>
        <w:t>Application.</w:t>
      </w:r>
      <w:r>
        <w:t xml:space="preserve"> Instead of immediately countering, I can ask: “Apart from price, what other conditions are important to you in getting this deal done?” Timeline is one variable I would explore. If fast completion matters greatly to the seller but costs me relatively little, I can provide speed and certainty while asking for greater price flexibility. A price gap can therefore be a signal to expand the negotiation rather than immediately split the difference. This is exactly what Step 3 of the lab tests: the strongest option introduces timing, certainty and furniture as variables and asks which matters most, rather than proposing a midpoint.</w:t>
      </w:r>
    </w:p>
    <w:p>
      <w:pPr>
        <w:pBdr>
          <w:left w:val="single" w:sz="24" w:space="6" w:color="A86E17"/>
        </w:pBdr>
        <w:shd w:val="clear" w:color="auto" w:fill="FFF7E7"/>
        <w:spacing w:before="80" w:after="160"/>
      </w:pPr>
      <w:r>
        <w:rPr>
          <w:b/>
          <w:color w:val="A86E17"/>
        </w:rPr>
        <w:t>My Rule #4:</w:t>
      </w:r>
      <w:r>
        <w:rPr>
          <w:b/>
        </w:rPr>
        <w:t xml:space="preserve"> When there is a gap on price, do not automatically split the difference. Break the negotiation into variables and trade across priorities.</w:t>
      </w:r>
    </w:p>
    <w:p>
      <w:pPr>
        <w:pStyle w:val="Heading1"/>
      </w:pPr>
      <w:r>
        <w:t>Part 5 – Strategic Preparation: The 3-Dimension / 10-Element Framework</w:t>
      </w:r>
    </w:p>
    <w:p>
      <w:r>
        <w:rPr>
          <w:b/>
        </w:rPr>
        <w:t>The moment.</w:t>
      </w:r>
      <w:r>
        <w:t xml:space="preserve"> My original journal was titled “Successful negotiation starts with proper preparations”, and I still believe it. What the course showed me is that my old preparation was mostly price research: I would look up recent transactions and decide what number felt fair. That is useful, but it is preparation for one variable, not for a negotiation.</w:t>
      </w:r>
    </w:p>
    <w:p>
      <w:r>
        <w:rPr>
          <w:b/>
        </w:rPr>
        <w:t>The concept.</w:t>
      </w:r>
      <w:r>
        <w:t xml:space="preserve"> The Week 3 framework gives preparation structure: Who? (People), What? (Substance) and How? (Process), containing ten preparation elements (Chao, 2026, Week 3). This framework draws on the approach set out by Lempereur and Colson (2010) in The First Move, the strongly recommended reading in the syllabus. What struck me in reading the book itself is its insistence that the “first move” in a negotiation happens well before the first offer: it is the negotiator’s preparation and the way he or she proposes to structure the encounter. The title reframed my understanding of initiative. I had always thought of “the first move” as the first number. Lempereur and Colson treat it as the first act of preparation and process design.</w:t>
      </w:r>
    </w:p>
    <w:p>
      <w:pPr>
        <w:keepNext/>
        <w:spacing w:before="120" w:after="60"/>
      </w:pPr>
      <w:r>
        <w:rPr>
          <w:b/>
          <w:color w:val="173B67"/>
          <w:sz w:val="20"/>
        </w:rPr>
        <w:t>Table 6. The 3 dimensions and 10 elements applied to my property negotiation</w:t>
      </w:r>
    </w:p>
    <w:tbl>
      <w:tblPr>
        <w:tblStyle w:val="TableGrid"/>
        <w:tblW w:type="auto" w:w="0"/>
        <w:jc w:val="center"/>
        <w:tblLook w:firstColumn="1" w:firstRow="1" w:lastColumn="0" w:lastRow="0" w:noHBand="0" w:noVBand="1" w:val="04A0"/>
        <w:tblLayout w:type="fixed"/>
      </w:tblPr>
      <w:tblGrid>
        <w:gridCol w:w="986"/>
        <w:gridCol w:w="3191"/>
        <w:gridCol w:w="4850"/>
      </w:tblGrid>
      <w:tr>
        <w:trPr>
          <w:cantSplit/>
          <w:tblHeader w:val="true"/>
        </w:trPr>
        <w:tc>
          <w:tcPr>
            <w:tcW w:type="dxa" w:w="987"/>
            <w:shd w:val="clear" w:color="auto" w:fill="173B67"/>
          </w:tcPr>
          <w:p>
            <w:pPr>
              <w:spacing w:after="0" w:line="240" w:lineRule="auto"/>
            </w:pPr>
            <w:r>
              <w:rPr>
                <w:b/>
                <w:color w:val="FFFFFF"/>
                <w:sz w:val="18"/>
              </w:rPr>
              <w:t>Dimension</w:t>
            </w:r>
          </w:p>
        </w:tc>
        <w:tc>
          <w:tcPr>
            <w:tcW w:type="dxa" w:w="3192"/>
            <w:shd w:val="clear" w:color="auto" w:fill="173B67"/>
          </w:tcPr>
          <w:p>
            <w:pPr>
              <w:spacing w:after="0" w:line="240" w:lineRule="auto"/>
            </w:pPr>
            <w:r>
              <w:rPr>
                <w:b/>
                <w:color w:val="FFFFFF"/>
                <w:sz w:val="18"/>
              </w:rPr>
              <w:t>Elements</w:t>
            </w:r>
          </w:p>
        </w:tc>
        <w:tc>
          <w:tcPr>
            <w:tcW w:type="dxa" w:w="4851"/>
            <w:shd w:val="clear" w:color="auto" w:fill="173B67"/>
          </w:tcPr>
          <w:p>
            <w:pPr>
              <w:spacing w:after="0" w:line="240" w:lineRule="auto"/>
            </w:pPr>
            <w:r>
              <w:rPr>
                <w:b/>
                <w:color w:val="FFFFFF"/>
                <w:sz w:val="18"/>
              </w:rPr>
              <w:t>Property application</w:t>
            </w:r>
          </w:p>
        </w:tc>
      </w:tr>
      <w:tr>
        <w:trPr>
          <w:cantSplit/>
        </w:trPr>
        <w:tc>
          <w:tcPr>
            <w:tcW w:type="dxa" w:w="987"/>
          </w:tcPr>
          <w:p>
            <w:pPr>
              <w:spacing w:after="0" w:line="240" w:lineRule="auto"/>
            </w:pPr>
            <w:r>
              <w:rPr>
                <w:sz w:val="18"/>
              </w:rPr>
              <w:t>People</w:t>
            </w:r>
          </w:p>
        </w:tc>
        <w:tc>
          <w:tcPr>
            <w:tcW w:type="dxa" w:w="3192"/>
          </w:tcPr>
          <w:p>
            <w:pPr>
              <w:spacing w:after="0" w:line="240" w:lineRule="auto"/>
            </w:pPr>
            <w:r>
              <w:rPr>
                <w:sz w:val="18"/>
              </w:rPr>
              <w:t>Relationship, mandate, stakeholder mapping</w:t>
            </w:r>
          </w:p>
        </w:tc>
        <w:tc>
          <w:tcPr>
            <w:tcW w:type="dxa" w:w="4851"/>
          </w:tcPr>
          <w:p>
            <w:pPr>
              <w:spacing w:after="0" w:line="240" w:lineRule="auto"/>
            </w:pPr>
            <w:r>
              <w:rPr>
                <w:sz w:val="18"/>
              </w:rPr>
              <w:t>Seller, spouse/family, agents, other buyers, bank, lawyer; who can say yes and who can block</w:t>
            </w:r>
          </w:p>
        </w:tc>
      </w:tr>
      <w:tr>
        <w:trPr>
          <w:cantSplit/>
        </w:trPr>
        <w:tc>
          <w:tcPr>
            <w:tcW w:type="dxa" w:w="987"/>
            <w:shd w:val="clear" w:color="auto" w:fill="F3F6FA"/>
          </w:tcPr>
          <w:p>
            <w:pPr>
              <w:spacing w:after="0" w:line="240" w:lineRule="auto"/>
            </w:pPr>
            <w:r>
              <w:rPr>
                <w:sz w:val="18"/>
              </w:rPr>
              <w:t>Substance</w:t>
            </w:r>
          </w:p>
        </w:tc>
        <w:tc>
          <w:tcPr>
            <w:tcW w:type="dxa" w:w="3192"/>
            <w:shd w:val="clear" w:color="auto" w:fill="F3F6FA"/>
          </w:tcPr>
          <w:p>
            <w:pPr>
              <w:spacing w:after="0" w:line="240" w:lineRule="auto"/>
            </w:pPr>
            <w:r>
              <w:rPr>
                <w:sz w:val="18"/>
              </w:rPr>
              <w:t>Motivations, solutions at the table, solutions away from the table, criteria of justification</w:t>
            </w:r>
          </w:p>
        </w:tc>
        <w:tc>
          <w:tcPr>
            <w:tcW w:type="dxa" w:w="4851"/>
            <w:shd w:val="clear" w:color="auto" w:fill="F3F6FA"/>
          </w:tcPr>
          <w:p>
            <w:pPr>
              <w:spacing w:after="0" w:line="240" w:lineRule="auto"/>
            </w:pPr>
            <w:r>
              <w:rPr>
                <w:sz w:val="18"/>
              </w:rPr>
              <w:t>Why selling; variables and packages; my alternative units; comparables and valuation</w:t>
            </w:r>
          </w:p>
        </w:tc>
      </w:tr>
      <w:tr>
        <w:trPr>
          <w:cantSplit/>
        </w:trPr>
        <w:tc>
          <w:tcPr>
            <w:tcW w:type="dxa" w:w="987"/>
          </w:tcPr>
          <w:p>
            <w:pPr>
              <w:spacing w:after="0" w:line="240" w:lineRule="auto"/>
            </w:pPr>
            <w:r>
              <w:rPr>
                <w:sz w:val="18"/>
              </w:rPr>
              <w:t>Process</w:t>
            </w:r>
          </w:p>
        </w:tc>
        <w:tc>
          <w:tcPr>
            <w:tcW w:type="dxa" w:w="3192"/>
          </w:tcPr>
          <w:p>
            <w:pPr>
              <w:spacing w:after="0" w:line="240" w:lineRule="auto"/>
            </w:pPr>
            <w:r>
              <w:rPr>
                <w:sz w:val="18"/>
              </w:rPr>
              <w:t>Process, communication, logistics</w:t>
            </w:r>
          </w:p>
        </w:tc>
        <w:tc>
          <w:tcPr>
            <w:tcW w:type="dxa" w:w="4851"/>
          </w:tcPr>
          <w:p>
            <w:pPr>
              <w:spacing w:after="0" w:line="240" w:lineRule="auto"/>
            </w:pPr>
            <w:r>
              <w:rPr>
                <w:sz w:val="18"/>
              </w:rPr>
              <w:t>Sequence of topics; questions to ask; channel (agent vs direct); financing letter and documents ready</w:t>
            </w:r>
          </w:p>
        </w:tc>
      </w:tr>
    </w:tbl>
    <w:p>
      <w:pPr>
        <w:spacing w:after="0" w:line="144" w:lineRule="auto"/>
      </w:pPr>
      <w:r>
        <w:rPr>
          <w:sz w:val="8"/>
        </w:rPr>
        <w:t xml:space="preserve"> </w:t>
      </w:r>
    </w:p>
    <w:p>
      <w:r>
        <w:rPr>
          <w:b/>
        </w:rPr>
        <w:t>Critical question.</w:t>
      </w:r>
      <w:r>
        <w:t xml:space="preserve"> The framework is comprehensive, which is also its risk. Ten elements can become a checklist that gives me a feeling of readiness without changing what I do. The test of preparation is whether it lets me adapt when something unexpected happens – for example, when the seller reveals a spouse who must approve. Did my preparation anticipate that a decision-maker might be away from the table? If not, I prepared a document, not a map.</w:t>
      </w:r>
    </w:p>
    <w:p>
      <w:r>
        <w:rPr>
          <w:b/>
        </w:rPr>
        <w:t>Application.</w:t>
      </w:r>
      <w:r>
        <w:t xml:space="preserve"> In a property negotiation, I should map the seller, spouse or family, agents, other potential buyers, bank and lawyer; investigate why the seller is selling; prepare multiple variables and packages; identify alternative properties; gather comparable transactions and valuation evidence; and plan the sequence, questions, financing and documentation. The distinction I now make is that I may previously have prepared for the price, but I had not necessarily prepared for the negotiation. The v3 lab adds a short preparation checklist before Step 1 for exactly this reason: it asks the user to commit to People, Substance and Process preparation before the seller speaks, and it rewards that only lightly, because ticking a box is not the same as preparing.</w:t>
      </w:r>
    </w:p>
    <w:p>
      <w:pPr>
        <w:pBdr>
          <w:left w:val="single" w:sz="24" w:space="6" w:color="A86E17"/>
        </w:pBdr>
        <w:shd w:val="clear" w:color="auto" w:fill="FFF7E7"/>
        <w:spacing w:before="80" w:after="160"/>
      </w:pPr>
      <w:r>
        <w:rPr>
          <w:b/>
          <w:color w:val="A86E17"/>
        </w:rPr>
        <w:t>My Rule #5:</w:t>
      </w:r>
      <w:r>
        <w:rPr>
          <w:b/>
        </w:rPr>
        <w:t xml:space="preserve"> Preparation is a map of the people, substance and process that allows me to adapt when the negotiation changes.</w:t>
      </w:r>
    </w:p>
    <w:p>
      <w:pPr>
        <w:pStyle w:val="Heading1"/>
      </w:pPr>
      <w:r>
        <w:t>Part 6 – Active Listening: From Waiting to Counter to Listening to Discover</w:t>
      </w:r>
    </w:p>
    <w:p>
      <w:r>
        <w:rPr>
          <w:b/>
        </w:rPr>
        <w:t>The moment.</w:t>
      </w:r>
      <w:r>
        <w:t xml:space="preserve"> Before the course, I believed I listened reasonably well because I am generally friendly and willing to hear the other party. I now see that hearing is not necessarily active listening. I was often listening for information that would help me decide my next price – which meant I was really listening to myself, rehearsing a counter while the other person was still speaking.</w:t>
      </w:r>
    </w:p>
    <w:p>
      <w:r>
        <w:rPr>
          <w:b/>
        </w:rPr>
        <w:t>The concept.</w:t>
      </w:r>
      <w:r>
        <w:t xml:space="preserve"> The Week 5 communication material describes active listening as attention, suspending the internal voice, noticing what is said and not said, taking notes, restating or looping, inviting correction, checking what was missed, asking clarifying questions and validating before closing the listening cycle (Chao, 2026, Week 5 Active Communication). Malhotra and Bazerman (2007) describe the related stance of “investigative negotiation”: approaching the other side like a detective, assuming there is a reason behind every demand that seems unreasonable, and treating the discovery of that reason as the main task.</w:t>
      </w:r>
    </w:p>
    <w:p>
      <w:pPr>
        <w:pStyle w:val="Heading2"/>
      </w:pPr>
      <w:r>
        <w:t>Annotated dialogue: the Ladder of Inference versus active listening</w:t>
      </w:r>
    </w:p>
    <w:p>
      <w:r>
        <w:rPr>
          <w:i/>
        </w:rPr>
        <w:t>Illustrative dialogue written to show the concepts; it is not a transcript.</w:t>
      </w:r>
      <w:r>
        <w:t xml:space="preserve"> The same seller statement is followed by two different buyer responses. Version A climbs the ladder; Version B loops.</w:t>
      </w:r>
    </w:p>
    <w:p>
      <w:pPr>
        <w:keepNext/>
        <w:spacing w:before="120" w:after="60"/>
      </w:pPr>
      <w:r>
        <w:rPr>
          <w:b/>
          <w:color w:val="173B67"/>
          <w:sz w:val="20"/>
        </w:rPr>
        <w:t>Table 7. Annotated dialogue – Version A (climbing the ladder)</w:t>
      </w:r>
    </w:p>
    <w:tbl>
      <w:tblPr>
        <w:tblStyle w:val="TableGrid"/>
        <w:tblW w:type="auto" w:w="0"/>
        <w:jc w:val="center"/>
        <w:tblLook w:firstColumn="1" w:firstRow="1" w:lastColumn="0" w:lastRow="0" w:noHBand="0" w:noVBand="1" w:val="04A0"/>
        <w:tblLayout w:type="fixed"/>
      </w:tblPr>
      <w:tblGrid>
        <w:gridCol w:w="4575"/>
        <w:gridCol w:w="4453"/>
      </w:tblGrid>
      <w:tr>
        <w:trPr>
          <w:cantSplit/>
          <w:tblHeader w:val="true"/>
        </w:trPr>
        <w:tc>
          <w:tcPr>
            <w:tcW w:type="dxa" w:w="4576"/>
            <w:shd w:val="clear" w:color="auto" w:fill="173B67"/>
          </w:tcPr>
          <w:p>
            <w:pPr>
              <w:spacing w:after="0" w:line="240" w:lineRule="auto"/>
            </w:pPr>
            <w:r>
              <w:rPr>
                <w:b/>
                <w:color w:val="FFFFFF"/>
                <w:sz w:val="18"/>
              </w:rPr>
              <w:t>Line</w:t>
            </w:r>
          </w:p>
        </w:tc>
        <w:tc>
          <w:tcPr>
            <w:tcW w:type="dxa" w:w="4453"/>
            <w:shd w:val="clear" w:color="auto" w:fill="173B67"/>
          </w:tcPr>
          <w:p>
            <w:pPr>
              <w:spacing w:after="0" w:line="240" w:lineRule="auto"/>
            </w:pPr>
            <w:r>
              <w:rPr>
                <w:b/>
                <w:color w:val="FFFFFF"/>
                <w:sz w:val="18"/>
              </w:rPr>
              <w:t>Annotation</w:t>
            </w:r>
          </w:p>
        </w:tc>
      </w:tr>
      <w:tr>
        <w:trPr>
          <w:cantSplit/>
        </w:trPr>
        <w:tc>
          <w:tcPr>
            <w:tcW w:type="dxa" w:w="4576"/>
          </w:tcPr>
          <w:p>
            <w:pPr>
              <w:spacing w:after="0" w:line="240" w:lineRule="auto"/>
            </w:pPr>
            <w:r>
              <w:rPr>
                <w:sz w:val="18"/>
              </w:rPr>
              <w:t>Seller: “S$1.80m is my minimum because I need to complete my next property purchase.”</w:t>
            </w:r>
          </w:p>
        </w:tc>
        <w:tc>
          <w:tcPr>
            <w:tcW w:type="dxa" w:w="4453"/>
          </w:tcPr>
          <w:p>
            <w:pPr>
              <w:spacing w:after="0" w:line="240" w:lineRule="auto"/>
            </w:pPr>
            <w:r>
              <w:rPr>
                <w:sz w:val="18"/>
              </w:rPr>
              <w:t>Observable data: a number, and an explanation after “because”.</w:t>
            </w:r>
          </w:p>
        </w:tc>
      </w:tr>
      <w:tr>
        <w:trPr>
          <w:cantSplit/>
        </w:trPr>
        <w:tc>
          <w:tcPr>
            <w:tcW w:type="dxa" w:w="4576"/>
            <w:shd w:val="clear" w:color="auto" w:fill="F3F6FA"/>
          </w:tcPr>
          <w:p>
            <w:pPr>
              <w:spacing w:after="0" w:line="240" w:lineRule="auto"/>
            </w:pPr>
            <w:r>
              <w:rPr>
                <w:sz w:val="18"/>
              </w:rPr>
              <w:t>Buyer (thinking): “Everyone says ‘minimum’. She is just testing me.”</w:t>
            </w:r>
          </w:p>
        </w:tc>
        <w:tc>
          <w:tcPr>
            <w:tcW w:type="dxa" w:w="4453"/>
            <w:shd w:val="clear" w:color="auto" w:fill="F3F6FA"/>
          </w:tcPr>
          <w:p>
            <w:pPr>
              <w:spacing w:after="0" w:line="240" w:lineRule="auto"/>
            </w:pPr>
            <w:r>
              <w:rPr>
                <w:sz w:val="18"/>
              </w:rPr>
              <w:t>Selected data: I ignore the “because” and keep only the number.</w:t>
            </w:r>
          </w:p>
        </w:tc>
      </w:tr>
      <w:tr>
        <w:trPr>
          <w:cantSplit/>
        </w:trPr>
        <w:tc>
          <w:tcPr>
            <w:tcW w:type="dxa" w:w="4576"/>
          </w:tcPr>
          <w:p>
            <w:pPr>
              <w:spacing w:after="0" w:line="240" w:lineRule="auto"/>
            </w:pPr>
            <w:r>
              <w:rPr>
                <w:sz w:val="18"/>
              </w:rPr>
              <w:t>Buyer (thinking): “Sellers who say that are usually inflating. There is room.”</w:t>
            </w:r>
          </w:p>
        </w:tc>
        <w:tc>
          <w:tcPr>
            <w:tcW w:type="dxa" w:w="4453"/>
          </w:tcPr>
          <w:p>
            <w:pPr>
              <w:spacing w:after="0" w:line="240" w:lineRule="auto"/>
            </w:pPr>
            <w:r>
              <w:rPr>
                <w:sz w:val="18"/>
              </w:rPr>
              <w:t>Added meaning and assumption: I generalise from other sellers.</w:t>
            </w:r>
          </w:p>
        </w:tc>
      </w:tr>
      <w:tr>
        <w:trPr>
          <w:cantSplit/>
        </w:trPr>
        <w:tc>
          <w:tcPr>
            <w:tcW w:type="dxa" w:w="4576"/>
            <w:shd w:val="clear" w:color="auto" w:fill="F3F6FA"/>
          </w:tcPr>
          <w:p>
            <w:pPr>
              <w:spacing w:after="0" w:line="240" w:lineRule="auto"/>
            </w:pPr>
            <w:r>
              <w:rPr>
                <w:sz w:val="18"/>
              </w:rPr>
              <w:t>Buyer: “Surely there is some flexibility. Would you take S$1.70m?”</w:t>
            </w:r>
          </w:p>
        </w:tc>
        <w:tc>
          <w:tcPr>
            <w:tcW w:type="dxa" w:w="4453"/>
            <w:shd w:val="clear" w:color="auto" w:fill="F3F6FA"/>
          </w:tcPr>
          <w:p>
            <w:pPr>
              <w:spacing w:after="0" w:line="240" w:lineRule="auto"/>
            </w:pPr>
            <w:r>
              <w:rPr>
                <w:sz w:val="18"/>
              </w:rPr>
              <w:t>Conclusion and action: a price counter that does not engage with what she said.</w:t>
            </w:r>
          </w:p>
        </w:tc>
      </w:tr>
      <w:tr>
        <w:trPr>
          <w:cantSplit/>
        </w:trPr>
        <w:tc>
          <w:tcPr>
            <w:tcW w:type="dxa" w:w="4576"/>
          </w:tcPr>
          <w:p>
            <w:pPr>
              <w:spacing w:after="0" w:line="240" w:lineRule="auto"/>
            </w:pPr>
            <w:r>
              <w:rPr>
                <w:sz w:val="18"/>
              </w:rPr>
              <w:t>Seller: “I told you, S$1.80m. I have had interest already.”</w:t>
            </w:r>
          </w:p>
        </w:tc>
        <w:tc>
          <w:tcPr>
            <w:tcW w:type="dxa" w:w="4453"/>
          </w:tcPr>
          <w:p>
            <w:pPr>
              <w:spacing w:after="0" w:line="240" w:lineRule="auto"/>
            </w:pPr>
            <w:r>
              <w:rPr>
                <w:sz w:val="18"/>
              </w:rPr>
              <w:t>Reinforced position: she now defends the number; I have learned nothing.</w:t>
            </w:r>
          </w:p>
        </w:tc>
      </w:tr>
    </w:tbl>
    <w:p>
      <w:pPr>
        <w:spacing w:after="0" w:line="144" w:lineRule="auto"/>
      </w:pPr>
      <w:r>
        <w:rPr>
          <w:sz w:val="8"/>
        </w:rPr>
        <w:t xml:space="preserve"> </w:t>
      </w:r>
    </w:p>
    <w:p>
      <w:pPr>
        <w:keepNext/>
        <w:spacing w:before="120" w:after="60"/>
      </w:pPr>
      <w:r>
        <w:rPr>
          <w:b/>
          <w:color w:val="173B67"/>
          <w:sz w:val="20"/>
        </w:rPr>
        <w:t>Table 8. Annotated dialogue – Version B (active listening)</w:t>
      </w:r>
    </w:p>
    <w:tbl>
      <w:tblPr>
        <w:tblStyle w:val="TableGrid"/>
        <w:tblW w:type="auto" w:w="0"/>
        <w:jc w:val="center"/>
        <w:tblLook w:firstColumn="1" w:firstRow="1" w:lastColumn="0" w:lastRow="0" w:noHBand="0" w:noVBand="1" w:val="04A0"/>
        <w:tblLayout w:type="fixed"/>
      </w:tblPr>
      <w:tblGrid>
        <w:gridCol w:w="4466"/>
        <w:gridCol w:w="4561"/>
      </w:tblGrid>
      <w:tr>
        <w:trPr>
          <w:cantSplit/>
          <w:tblHeader w:val="true"/>
        </w:trPr>
        <w:tc>
          <w:tcPr>
            <w:tcW w:type="dxa" w:w="4467"/>
            <w:shd w:val="clear" w:color="auto" w:fill="173B67"/>
          </w:tcPr>
          <w:p>
            <w:pPr>
              <w:spacing w:after="0" w:line="240" w:lineRule="auto"/>
            </w:pPr>
            <w:r>
              <w:rPr>
                <w:b/>
                <w:color w:val="FFFFFF"/>
                <w:sz w:val="18"/>
              </w:rPr>
              <w:t>Line</w:t>
            </w:r>
          </w:p>
        </w:tc>
        <w:tc>
          <w:tcPr>
            <w:tcW w:type="dxa" w:w="4562"/>
            <w:shd w:val="clear" w:color="auto" w:fill="173B67"/>
          </w:tcPr>
          <w:p>
            <w:pPr>
              <w:spacing w:after="0" w:line="240" w:lineRule="auto"/>
            </w:pPr>
            <w:r>
              <w:rPr>
                <w:b/>
                <w:color w:val="FFFFFF"/>
                <w:sz w:val="18"/>
              </w:rPr>
              <w:t>Annotation</w:t>
            </w:r>
          </w:p>
        </w:tc>
      </w:tr>
      <w:tr>
        <w:trPr>
          <w:cantSplit/>
        </w:trPr>
        <w:tc>
          <w:tcPr>
            <w:tcW w:type="dxa" w:w="4467"/>
          </w:tcPr>
          <w:p>
            <w:pPr>
              <w:spacing w:after="0" w:line="240" w:lineRule="auto"/>
            </w:pPr>
            <w:r>
              <w:rPr>
                <w:sz w:val="18"/>
              </w:rPr>
              <w:t>Seller: “S$1.80m is my minimum because I need to complete my next property purchase.”</w:t>
            </w:r>
          </w:p>
        </w:tc>
        <w:tc>
          <w:tcPr>
            <w:tcW w:type="dxa" w:w="4562"/>
          </w:tcPr>
          <w:p>
            <w:pPr>
              <w:spacing w:after="0" w:line="240" w:lineRule="auto"/>
            </w:pPr>
            <w:r>
              <w:rPr>
                <w:sz w:val="18"/>
              </w:rPr>
              <w:t>Same data. This time I note the “because” literally.</w:t>
            </w:r>
          </w:p>
        </w:tc>
      </w:tr>
      <w:tr>
        <w:trPr>
          <w:cantSplit/>
        </w:trPr>
        <w:tc>
          <w:tcPr>
            <w:tcW w:type="dxa" w:w="4467"/>
            <w:shd w:val="clear" w:color="auto" w:fill="F3F6FA"/>
          </w:tcPr>
          <w:p>
            <w:pPr>
              <w:spacing w:after="0" w:line="240" w:lineRule="auto"/>
            </w:pPr>
            <w:r>
              <w:rPr>
                <w:sz w:val="18"/>
              </w:rPr>
              <w:t>Buyer: “So the number is connected to your next purchase – you need the proceeds to land in time for that. Have I got that right?”</w:t>
            </w:r>
          </w:p>
        </w:tc>
        <w:tc>
          <w:tcPr>
            <w:tcW w:type="dxa" w:w="4562"/>
            <w:shd w:val="clear" w:color="auto" w:fill="F3F6FA"/>
          </w:tcPr>
          <w:p>
            <w:pPr>
              <w:spacing w:after="0" w:line="240" w:lineRule="auto"/>
            </w:pPr>
            <w:r>
              <w:rPr>
                <w:sz w:val="18"/>
              </w:rPr>
              <w:t>Restating / looping. I am not agreeing; I am checking accuracy and inviting correction.</w:t>
            </w:r>
          </w:p>
        </w:tc>
      </w:tr>
      <w:tr>
        <w:trPr>
          <w:cantSplit/>
        </w:trPr>
        <w:tc>
          <w:tcPr>
            <w:tcW w:type="dxa" w:w="4467"/>
          </w:tcPr>
          <w:p>
            <w:pPr>
              <w:spacing w:after="0" w:line="240" w:lineRule="auto"/>
            </w:pPr>
            <w:r>
              <w:rPr>
                <w:sz w:val="18"/>
              </w:rPr>
              <w:t>Seller: “Yes. And honestly, my last buyer’s financing fell through, so I lost three weeks.”</w:t>
            </w:r>
          </w:p>
        </w:tc>
        <w:tc>
          <w:tcPr>
            <w:tcW w:type="dxa" w:w="4562"/>
          </w:tcPr>
          <w:p>
            <w:pPr>
              <w:spacing w:after="0" w:line="240" w:lineRule="auto"/>
            </w:pPr>
            <w:r>
              <w:rPr>
                <w:sz w:val="18"/>
              </w:rPr>
              <w:t>New information that would never have surfaced in Version A: certainty matters, not only price.</w:t>
            </w:r>
          </w:p>
        </w:tc>
      </w:tr>
      <w:tr>
        <w:trPr>
          <w:cantSplit/>
        </w:trPr>
        <w:tc>
          <w:tcPr>
            <w:tcW w:type="dxa" w:w="4467"/>
            <w:shd w:val="clear" w:color="auto" w:fill="F3F6FA"/>
          </w:tcPr>
          <w:p>
            <w:pPr>
              <w:spacing w:after="0" w:line="240" w:lineRule="auto"/>
            </w:pPr>
            <w:r>
              <w:rPr>
                <w:sz w:val="18"/>
              </w:rPr>
              <w:t>Buyer: “That sounds stressful. When does your next purchase need to complete?”</w:t>
            </w:r>
          </w:p>
        </w:tc>
        <w:tc>
          <w:tcPr>
            <w:tcW w:type="dxa" w:w="4562"/>
            <w:shd w:val="clear" w:color="auto" w:fill="F3F6FA"/>
          </w:tcPr>
          <w:p>
            <w:pPr>
              <w:spacing w:after="0" w:line="240" w:lineRule="auto"/>
            </w:pPr>
            <w:r>
              <w:rPr>
                <w:sz w:val="18"/>
              </w:rPr>
              <w:t>Validation, then one clarifying question about timing – an interest, not a position.</w:t>
            </w:r>
          </w:p>
        </w:tc>
      </w:tr>
      <w:tr>
        <w:trPr>
          <w:cantSplit/>
        </w:trPr>
        <w:tc>
          <w:tcPr>
            <w:tcW w:type="dxa" w:w="4467"/>
          </w:tcPr>
          <w:p>
            <w:pPr>
              <w:spacing w:after="0" w:line="240" w:lineRule="auto"/>
            </w:pPr>
            <w:r>
              <w:rPr>
                <w:sz w:val="18"/>
              </w:rPr>
              <w:t>Seller: “Within about eight weeks.”</w:t>
            </w:r>
          </w:p>
        </w:tc>
        <w:tc>
          <w:tcPr>
            <w:tcW w:type="dxa" w:w="4562"/>
          </w:tcPr>
          <w:p>
            <w:pPr>
              <w:spacing w:after="0" w:line="240" w:lineRule="auto"/>
            </w:pPr>
            <w:r>
              <w:rPr>
                <w:sz w:val="18"/>
              </w:rPr>
              <w:t>A variable I can probably accommodate at low cost. The negotiation is now about more than price.</w:t>
            </w:r>
          </w:p>
        </w:tc>
      </w:tr>
    </w:tbl>
    <w:p>
      <w:pPr>
        <w:spacing w:after="0" w:line="144" w:lineRule="auto"/>
      </w:pPr>
      <w:r>
        <w:rPr>
          <w:sz w:val="8"/>
        </w:rPr>
        <w:t xml:space="preserve"> </w:t>
      </w:r>
    </w:p>
    <w:p>
      <w:r>
        <w:rPr>
          <w:b/>
        </w:rPr>
        <w:t>Critical question.</w:t>
      </w:r>
      <w:r>
        <w:t xml:space="preserve"> Is active listening a technique or a disposition? If I loop mechanically while still privately concluding “she is bluffing”, the seller will probably sense it. The harder lesson is that suspending the internal voice is the real work; the restating is just the visible part. A second critical question is whether active listening gives information away. In Version B, I disclose nothing about my reservation point. Listening is low-cost to me and high-value in information – which is precisely why it should come before advocating.</w:t>
      </w:r>
    </w:p>
    <w:p>
      <w:r>
        <w:rPr>
          <w:b/>
        </w:rPr>
        <w:t>Application.</w:t>
      </w:r>
      <w:r>
        <w:t xml:space="preserve"> If a seller says, “S$1.80m is my minimum because I need to complete my next property purchase,” the most valuable information may be the explanation after “because”. I can restate the motivation and clarify the timeline before deciding whether to move. Active listening does not mean agreeing. It means improving the quality of my information. If certainty matters because a previous buyer’s financing failed, proof of financing may become a valuable term that costs me less than another price concession. Step 2 of the lab tests exactly this: restating and asking one clarifying question scores well, while offering a price immediately or challenging the seller’s inconsistency does not.</w:t>
      </w:r>
    </w:p>
    <w:p>
      <w:pPr>
        <w:pBdr>
          <w:left w:val="single" w:sz="24" w:space="6" w:color="A86E17"/>
        </w:pBdr>
        <w:shd w:val="clear" w:color="auto" w:fill="FFF7E7"/>
        <w:spacing w:before="80" w:after="160"/>
      </w:pPr>
      <w:r>
        <w:rPr>
          <w:b/>
          <w:color w:val="A86E17"/>
        </w:rPr>
        <w:t>My Rule #6:</w:t>
      </w:r>
      <w:r>
        <w:rPr>
          <w:b/>
        </w:rPr>
        <w:t xml:space="preserve"> Do not listen merely to prepare my next counteroffer. Understand what drives the other party’s position before proposing.</w:t>
      </w:r>
    </w:p>
    <w:p>
      <w:pPr>
        <w:pStyle w:val="Heading1"/>
      </w:pPr>
      <w:r>
        <w:t>Part 7 – Active Speaking and Influence: Making My Offer Persuasive</w:t>
      </w:r>
    </w:p>
    <w:p>
      <w:r>
        <w:rPr>
          <w:b/>
        </w:rPr>
        <w:t>The moment.</w:t>
      </w:r>
      <w:r>
        <w:t xml:space="preserve"> My own instinct has been to avoid simply telling the seller that the price is too high. If a unit has been on the market for a long time, I would ask the seller to consider my price, explain that I am a sincere buyer and indicate that I am ready to move. That instinct was good, but thin: “I am sincere” is a claim, not evidence.</w:t>
      </w:r>
    </w:p>
    <w:p>
      <w:r>
        <w:rPr>
          <w:b/>
        </w:rPr>
        <w:t>The concept.</w:t>
      </w:r>
      <w:r>
        <w:t xml:space="preserve"> The Week 5 material describes active speaking as audience-specific, adapted, concise, precise, integrative, suggestive and positively framed, while avoiding bluffing and lying. It also discusses reference points, framing and the presentation of gains and losses (Chao, 2026, Week 5 Active Communication). Getting to Yes adds the principle of insisting on objective criteria: rather than a contest of wills, both sides look for a fair standard – market value, comparable sales, an independent valuation – and agree to be persuaded by it (Fisher, Ury &amp; Patton, 1991).</w:t>
      </w:r>
    </w:p>
    <w:p>
      <w:r>
        <w:rPr>
          <w:b/>
        </w:rPr>
        <w:t>Critical question.</w:t>
      </w:r>
      <w:r>
        <w:t xml:space="preserve"> Objective criteria are rarely as objective as they sound. Comparable transactions can be selected to support either side: a buyer cites the smaller, older unit; the seller cites the renovated one on a higher floor. If I present ten comparables to prove the seller is “objectively overpriced”, I am using criteria as a weapon, and the seller will respond with his own list. Fisher, Ury and Patton suggest framing the search for criteria as a joint task. That shifts the question from “Whose data wins?” to “Which standard should we both accept?” – which is a more honest use of evidence and, I think, a more persuasive one.</w:t>
      </w:r>
    </w:p>
    <w:p>
      <w:r>
        <w:rPr>
          <w:b/>
        </w:rPr>
        <w:t>Application.</w:t>
      </w:r>
      <w:r>
        <w:t xml:space="preserve"> I can improve my existing instinct by demonstrating sincerity through financing readiness, decision speed, understanding of the process and flexibility on timing. I should use time-on-market carefully. Saying “nobody wants your property” attacks the seller; saying that a serious, ready buyer can provide certainty frames the same market fact more constructively. I therefore want my proposal to give the seller a credible reason to consider my number without unnecessarily attacking the seller’s position. In the lab, Step 4 rewards the response that acknowledges the seller’s concern, cites two relevant comparables and links price to faster completion and proof of financing, and gives only partial credit to the data-dump.</w:t>
      </w:r>
    </w:p>
    <w:p>
      <w:pPr>
        <w:pStyle w:val="Heading2"/>
      </w:pPr>
      <w:r>
        <w:t>Interactive Application: Property Negotiation Lab (Run 1 checkpoint)</w:t>
      </w:r>
    </w:p>
    <w:p>
      <w:r>
        <w:t>At this point I wanted to turn the concepts into decisions rather than simply describe them. I therefore developed an interactive property-negotiation exercise testing anchoring, active listening, interest discovery, multi-variable bargaining, objective criteria, stakeholder/process choices and package design.</w:t>
      </w:r>
    </w:p>
    <w:p>
      <w:pPr>
        <w:pBdr>
          <w:left w:val="single" w:sz="24" w:space="6" w:color="0563C1"/>
        </w:pBdr>
        <w:shd w:val="clear" w:color="auto" w:fill="EAF2FB"/>
        <w:spacing w:before="80"/>
      </w:pPr>
      <w:r>
        <w:rPr>
          <w:b/>
        </w:rPr>
        <w:t xml:space="preserve">Run the lab now (Run 1): </w:t>
      </w:r>
      <w:hyperlink r:id="rId11">
        <w:r>
          <w:rPr>
            <w:b/>
            <w:rStyle w:val="Hyperlink"/>
            <w:color w:val="0563C1"/>
            <w:u w:val="single"/>
          </w:rPr>
          <w:t xml:space="preserve">https://www.negotiation.site/m10-simulation.html</w:t>
        </w:r>
      </w:hyperlink>
    </w:p>
    <w:p>
      <w:r>
        <w:rPr>
          <w:i/>
          <w:color w:val="556070"/>
          <w:sz w:val="19"/>
        </w:rPr>
        <w:t>This opens the full simulation (Module 10) on the live platform. Paste the debrief into Appendix A and complete Run 1 of the log in Appendix B.</w:t>
      </w:r>
    </w:p>
    <w:p>
      <w:pPr>
        <w:pBdr>
          <w:left w:val="single" w:sz="24" w:space="6" w:color="A86E17"/>
        </w:pBdr>
        <w:shd w:val="clear" w:color="auto" w:fill="FFF7E7"/>
        <w:spacing w:before="80" w:after="160"/>
      </w:pPr>
      <w:r>
        <w:rPr>
          <w:b/>
          <w:color w:val="A86E17"/>
        </w:rPr>
        <w:t>My Rule #7:</w:t>
      </w:r>
      <w:r>
        <w:rPr>
          <w:b/>
        </w:rPr>
        <w:t xml:space="preserve"> Do not attack the seller’s position. Give credible reasons to consider my proposal and demonstrate the value I bring.</w:t>
      </w:r>
    </w:p>
    <w:p>
      <w:pPr>
        <w:pStyle w:val="Heading1"/>
      </w:pPr>
      <w:r>
        <w:t>Part 8 – Cuban Missile Crisis / 13 Days: More Than Two People at a Table</w:t>
      </w:r>
    </w:p>
    <w:p>
      <w:r>
        <w:rPr>
          <w:b/>
        </w:rPr>
        <w:t>The moment.</w:t>
      </w:r>
      <w:r>
        <w:t xml:space="preserve"> The Cuban Missile Crisis material, linked in the syllabus to the 13 Days video case, challenged the simple image of negotiation as two rational actors exchanging offers. One of my strongest takeaways was how many actors played important roles – military advisers, back-channel intermediaries, allies, the public – and how much of the negotiation happened within each side rather than between them.</w:t>
      </w:r>
    </w:p>
    <w:p>
      <w:r>
        <w:rPr>
          <w:b/>
        </w:rPr>
        <w:t>The concept.</w:t>
      </w:r>
      <w:r>
        <w:t xml:space="preserve"> The ICAP framework focuses on Interests, Constraints, Alternatives and Perspectives and explicitly includes third parties away from the table and sequences of moves that can improve position or create value (Chao, 2026, Cuban Missile Crisis). The case also warns that neither side is a monolith: organisations, procedures, culture and individual agents shape what a government can do. Signalling happens through action and deliberate inaction, not only through words.</w:t>
      </w:r>
    </w:p>
    <w:p>
      <w:r>
        <w:rPr>
          <w:b/>
        </w:rPr>
        <w:t>Critical question.</w:t>
      </w:r>
      <w:r>
        <w:t xml:space="preserve"> Is it a stretch to apply a nuclear crisis to a property purchase? The stakes are obviously incomparable, and I want to avoid trivialising them. But the structural lesson transfers precisely because it is structural: an agent’s statement may not be the principal’s view, a counterpart may be constrained by people I never meet, and silence can be a move. The real danger is over-dramatising a residential deal into a contest of resolve.</w:t>
      </w:r>
    </w:p>
    <w:p>
      <w:r>
        <w:rPr>
          <w:b/>
        </w:rPr>
        <w:t>Application.</w:t>
      </w:r>
      <w:r>
        <w:t xml:space="preserve"> A transaction that looks like buyer versus seller may involve a spouse or family member, agents, other buyers, bankers, lawyers and the seller’s next transaction. A person who communicates with me may not be the final decision-maker. I should also manage my own side: if I am buying with family, my mandate needs to be clear before I negotiate, otherwise I may make commitments my own side will not support. Step 5 of the lab places this lesson directly in front of the user, when the seller says she must discuss the offer with her spouse tonight.</w:t>
      </w:r>
    </w:p>
    <w:p>
      <w:pPr>
        <w:pBdr>
          <w:left w:val="single" w:sz="24" w:space="6" w:color="A86E17"/>
        </w:pBdr>
        <w:shd w:val="clear" w:color="auto" w:fill="FFF7E7"/>
        <w:spacing w:before="80" w:after="160"/>
      </w:pPr>
      <w:r>
        <w:rPr>
          <w:b/>
          <w:color w:val="A86E17"/>
        </w:rPr>
        <w:t>My Rule #8:</w:t>
      </w:r>
      <w:r>
        <w:rPr>
          <w:b/>
        </w:rPr>
        <w:t xml:space="preserve"> Never analyse a negotiation as simply ‘me versus them.’ Identify who decides, influences and can block agreement.</w:t>
      </w:r>
    </w:p>
    <w:p>
      <w:pPr>
        <w:pStyle w:val="Heading1"/>
      </w:pPr>
      <w:r>
        <w:t>Part 9 – Multi-Party Negotiation: The Process Can Shape the Outcome</w:t>
      </w:r>
    </w:p>
    <w:p>
      <w:r>
        <w:rPr>
          <w:b/>
        </w:rPr>
        <w:t>The moment.</w:t>
      </w:r>
      <w:r>
        <w:t xml:space="preserve"> The syllabus uses Chestnut Village for the multiparty negotiation session and then examines prenegotiation, group process and the agreement stage (Chao, 2026, BMS5410 Syllabus). I do not record a specific personal outcome for Chestnut Village because I do not want to invent a result I do not remember. What I do remember clearly is the qualitative shift: with more parties, the question “what should we agree?” is quickly overtaken by “how will we decide?”</w:t>
      </w:r>
    </w:p>
    <w:p>
      <w:r>
        <w:rPr>
          <w:b/>
        </w:rPr>
        <w:t>The concept.</w:t>
      </w:r>
      <w:r>
        <w:t xml:space="preserve"> Before the course, I had no deliberate preference for whether to speak to everyone together or approach important people individually first. I would probably have chosen based on convenience. The course made me see that this is itself a process choice. The Convention on the Future of Europe material adds progressive agenda-setting, delaying high-conflict issues, time pressure, centralised drafting and a one-text procedure. It shows that process ownership and the way consensus is managed can shape the outcome (Chao, 2026, Week 6 Multi-Party Negotiation). Lempereur and Colson (2010) make a similar argument at the level of a single negotiation: proposing how the discussion will be structured – the agenda, the order of topics, who speaks – is itself a substantive contribution, and the negotiator who offers a sensible process often gains both legitimacy and influence.</w:t>
      </w:r>
    </w:p>
    <w:p>
      <w:r>
        <w:rPr>
          <w:b/>
        </w:rPr>
        <w:t>Critical question.</w:t>
      </w:r>
      <w:r>
        <w:t xml:space="preserve"> Whoever drafts the single text gains power. Is process design therefore a form of manipulation? It can be, if the process is hidden or imposed. I think the legitimate version is transparent: I propose a sequence openly, invite adjustment and keep the record accurate. That gives me influence without undermining trust, and it is consistent with the people-centred tone of The First Move.</w:t>
      </w:r>
    </w:p>
    <w:p>
      <w:r>
        <w:rPr>
          <w:b/>
        </w:rPr>
        <w:t>Application.</w:t>
      </w:r>
      <w:r>
        <w:t xml:space="preserve"> For a property transaction, sequence might be: establish interest, gather information, identify decision-makers and constraints, discuss objective evidence, introduce price, expand variables and consolidate one package. I can also offer to write the summary after each conversation – a small version of the one-text procedure.</w:t>
      </w:r>
    </w:p>
    <w:p>
      <w:pPr>
        <w:pBdr>
          <w:left w:val="single" w:sz="24" w:space="6" w:color="A86E17"/>
        </w:pBdr>
        <w:shd w:val="clear" w:color="auto" w:fill="FFF7E7"/>
        <w:spacing w:before="80" w:after="160"/>
      </w:pPr>
      <w:r>
        <w:rPr>
          <w:b/>
          <w:color w:val="A86E17"/>
        </w:rPr>
        <w:t>My Rule #9:</w:t>
      </w:r>
      <w:r>
        <w:rPr>
          <w:b/>
        </w:rPr>
        <w:t xml:space="preserve"> Deliberately decide who participates, the sequence of issues and how agreements are progressively consolidated.</w:t>
      </w:r>
    </w:p>
    <w:p>
      <w:pPr>
        <w:pStyle w:val="Heading1"/>
      </w:pPr>
      <w:r>
        <w:t>Part 10 – BATNA: From ‘Find Another Deal’ to a Planned Alternative</w:t>
      </w:r>
    </w:p>
    <w:p>
      <w:r>
        <w:rPr>
          <w:b/>
        </w:rPr>
        <w:t>The moment.</w:t>
      </w:r>
      <w:r>
        <w:t xml:space="preserve"> Before BMS5410, I was already willing to walk away. If the seller would not reduce the asking price sufficiently, I would look for another deal. This protected me from becoming completely attached to one property, but it was not the same as having a prepared BATNA.</w:t>
      </w:r>
    </w:p>
    <w:p>
      <w:r>
        <w:rPr>
          <w:b/>
        </w:rPr>
        <w:t>The concept.</w:t>
      </w:r>
      <w:r>
        <w:t xml:space="preserve"> Fisher, Ury and Patton (1991) introduced the BATNA as the standard against which any proposed agreement should be measured, precisely because a fixed “bottom line” can be too rigid or too arbitrary. My old sequence was negotiate, seller refuses, look for another deal. My developing sequence is identify alternatives, evaluate them, negotiate, compare the proposed agreement against the best alternative, then accept or walk away.</w:t>
      </w:r>
    </w:p>
    <w:p>
      <w:r>
        <w:rPr>
          <w:b/>
        </w:rPr>
        <w:t>Critical question.</w:t>
      </w:r>
      <w:r>
        <w:t xml:space="preserve"> The lab gives the buyer a BATNA unit at S$1.72m but a reservation point of S$1.78m on the target unit. When I first designed it, I wondered whether that was inconsistent: why pay up to S$1.78m when there is an alternative at S$1.72m? The answer clarified the concept for me. A BATNA is not a price; it is a total value. If the target unit has a better layout, location or completion fit, it may be worth S$60,000 more to me than the alternative. My reservation point should be derived from the value of my BATNA, not copied from its asking price. A cheaper alternative can still be worse overall.</w:t>
      </w:r>
    </w:p>
    <w:p>
      <w:r>
        <w:rPr>
          <w:b/>
        </w:rPr>
        <w:t>Application.</w:t>
      </w:r>
      <w:r>
        <w:t xml:space="preserve"> I should compare overall value: achievable price, location, size, layout, condition, renovation, completion timing, investment potential, certainty and personal preference. I also need to separate opening anchor, target, reservation point and BATNA. My maximum should not be created by the seller’s concession pattern. Walking away is not necessarily failure if the best available agreement remains inferior to my alternative. Equally, accepting a modest discount is not failure if the package clearly dominates my alternative.</w:t>
      </w:r>
    </w:p>
    <w:p>
      <w:pPr>
        <w:pBdr>
          <w:left w:val="single" w:sz="24" w:space="6" w:color="A86E17"/>
        </w:pBdr>
        <w:shd w:val="clear" w:color="auto" w:fill="FFF7E7"/>
        <w:spacing w:before="80" w:after="160"/>
      </w:pPr>
      <w:r>
        <w:rPr>
          <w:b/>
          <w:color w:val="A86E17"/>
        </w:rPr>
        <w:t>My Rule #10:</w:t>
      </w:r>
      <w:r>
        <w:rPr>
          <w:b/>
        </w:rPr>
        <w:t xml:space="preserve"> Compare the final package against my BATNA – not against the asking price or size of the discount.</w:t>
      </w:r>
    </w:p>
    <w:p>
      <w:pPr>
        <w:pStyle w:val="Heading1"/>
      </w:pPr>
      <w:r>
        <w:t>Part 11 – Concessions, Information Asymmetry and Claiming Value</w:t>
      </w:r>
    </w:p>
    <w:p>
      <w:r>
        <w:rPr>
          <w:b/>
        </w:rPr>
        <w:t>The moment.</w:t>
      </w:r>
      <w:r>
        <w:t xml:space="preserve"> Suppose I offer S$1.50m and the seller counters at S$1.75m. If I immediately jump to S$1.65m, the S$150,000 concession communicates more than a new number. It may tell the seller that I have substantial room. I recognise this pattern in myself: when I feel a deal is close, I want to show goodwill with a big move.</w:t>
      </w:r>
    </w:p>
    <w:p>
      <w:r>
        <w:rPr>
          <w:b/>
        </w:rPr>
        <w:t>The concept.</w:t>
      </w:r>
      <w:r>
        <w:t xml:space="preserve"> The Week 3 material states that effective negotiators manage information asymmetry, distinguish anchor/target/reservation price, make concessions that shrink in size and slow in pace, and may use precise non-rounded numbers in final rounds to strengthen credibility (Chao, 2026, Week 3). Every concession therefore has both an economic value and an informational value. Conditional concessions are stronger than unilateral gifts.</w:t>
      </w:r>
    </w:p>
    <w:p>
      <w:pPr>
        <w:pStyle w:val="Heading2"/>
      </w:pPr>
      <w:r>
        <w:t>Concession-signal audit</w:t>
      </w:r>
    </w:p>
    <w:p>
      <w:r>
        <w:t>The audit below compares two illustrative offer paths from the same S$1.50m opening. The figures are illustrative only and are not my actual target or reservation point; they also differ deliberately from the lab’s parameters so that the reader does not treat either set as “the answer”.</w:t>
      </w:r>
    </w:p>
    <w:p>
      <w:pPr>
        <w:keepNext/>
        <w:spacing w:before="120" w:after="60"/>
      </w:pPr>
      <w:r>
        <w:rPr>
          <w:b/>
          <w:color w:val="173B67"/>
          <w:sz w:val="20"/>
        </w:rPr>
        <w:t>Table 9. Concession-signal audit – unaudited path (my old habit)</w:t>
      </w:r>
    </w:p>
    <w:tbl>
      <w:tblPr>
        <w:tblStyle w:val="TableGrid"/>
        <w:tblW w:type="auto" w:w="0"/>
        <w:jc w:val="center"/>
        <w:tblLook w:firstColumn="1" w:firstRow="1" w:lastColumn="0" w:lastRow="0" w:noHBand="0" w:noVBand="1" w:val="04A0"/>
        <w:tblLayout w:type="fixed"/>
      </w:tblPr>
      <w:tblGrid>
        <w:gridCol w:w="928"/>
        <w:gridCol w:w="961"/>
        <w:gridCol w:w="928"/>
        <w:gridCol w:w="928"/>
        <w:gridCol w:w="2674"/>
        <w:gridCol w:w="2606"/>
      </w:tblGrid>
      <w:tr>
        <w:trPr>
          <w:cantSplit/>
          <w:tblHeader w:val="true"/>
        </w:trPr>
        <w:tc>
          <w:tcPr>
            <w:tcW w:type="dxa" w:w="929"/>
            <w:shd w:val="clear" w:color="auto" w:fill="173B67"/>
          </w:tcPr>
          <w:p>
            <w:pPr>
              <w:spacing w:after="0" w:line="240" w:lineRule="auto"/>
            </w:pPr>
            <w:r>
              <w:rPr>
                <w:b/>
                <w:color w:val="FFFFFF"/>
                <w:sz w:val="18"/>
              </w:rPr>
              <w:t>Round</w:t>
            </w:r>
          </w:p>
        </w:tc>
        <w:tc>
          <w:tcPr>
            <w:tcW w:type="dxa" w:w="962"/>
            <w:shd w:val="clear" w:color="auto" w:fill="173B67"/>
          </w:tcPr>
          <w:p>
            <w:pPr>
              <w:spacing w:after="0" w:line="240" w:lineRule="auto"/>
            </w:pPr>
            <w:r>
              <w:rPr>
                <w:b/>
                <w:color w:val="FFFFFF"/>
                <w:sz w:val="18"/>
              </w:rPr>
              <w:t>My offer</w:t>
            </w:r>
          </w:p>
        </w:tc>
        <w:tc>
          <w:tcPr>
            <w:tcW w:type="dxa" w:w="929"/>
            <w:shd w:val="clear" w:color="auto" w:fill="173B67"/>
          </w:tcPr>
          <w:p>
            <w:pPr>
              <w:spacing w:after="0" w:line="240" w:lineRule="auto"/>
            </w:pPr>
            <w:r>
              <w:rPr>
                <w:b/>
                <w:color w:val="FFFFFF"/>
                <w:sz w:val="18"/>
              </w:rPr>
              <w:t>Movement</w:t>
            </w:r>
          </w:p>
        </w:tc>
        <w:tc>
          <w:tcPr>
            <w:tcW w:type="dxa" w:w="929"/>
            <w:shd w:val="clear" w:color="auto" w:fill="173B67"/>
          </w:tcPr>
          <w:p>
            <w:pPr>
              <w:spacing w:after="0" w:line="240" w:lineRule="auto"/>
            </w:pPr>
            <w:r>
              <w:rPr>
                <w:b/>
                <w:color w:val="FFFFFF"/>
                <w:sz w:val="18"/>
              </w:rPr>
              <w:t>Condition attached</w:t>
            </w:r>
          </w:p>
        </w:tc>
        <w:tc>
          <w:tcPr>
            <w:tcW w:type="dxa" w:w="2674"/>
            <w:shd w:val="clear" w:color="auto" w:fill="173B67"/>
          </w:tcPr>
          <w:p>
            <w:pPr>
              <w:spacing w:after="0" w:line="240" w:lineRule="auto"/>
            </w:pPr>
            <w:r>
              <w:rPr>
                <w:b/>
                <w:color w:val="FFFFFF"/>
                <w:sz w:val="18"/>
              </w:rPr>
              <w:t>Signal the seller may read</w:t>
            </w:r>
          </w:p>
        </w:tc>
        <w:tc>
          <w:tcPr>
            <w:tcW w:type="dxa" w:w="2606"/>
            <w:shd w:val="clear" w:color="auto" w:fill="173B67"/>
          </w:tcPr>
          <w:p>
            <w:pPr>
              <w:spacing w:after="0" w:line="240" w:lineRule="auto"/>
            </w:pPr>
            <w:r>
              <w:rPr>
                <w:b/>
                <w:color w:val="FFFFFF"/>
                <w:sz w:val="18"/>
              </w:rPr>
              <w:t>Audit verdict</w:t>
            </w:r>
          </w:p>
        </w:tc>
      </w:tr>
      <w:tr>
        <w:trPr>
          <w:cantSplit/>
        </w:trPr>
        <w:tc>
          <w:tcPr>
            <w:tcW w:type="dxa" w:w="929"/>
          </w:tcPr>
          <w:p>
            <w:pPr>
              <w:spacing w:after="0" w:line="240" w:lineRule="auto"/>
            </w:pPr>
            <w:r>
              <w:rPr>
                <w:sz w:val="18"/>
              </w:rPr>
              <w:t>1</w:t>
            </w:r>
          </w:p>
        </w:tc>
        <w:tc>
          <w:tcPr>
            <w:tcW w:type="dxa" w:w="962"/>
          </w:tcPr>
          <w:p>
            <w:pPr>
              <w:spacing w:after="0" w:line="240" w:lineRule="auto"/>
            </w:pPr>
            <w:r>
              <w:rPr>
                <w:sz w:val="18"/>
              </w:rPr>
              <w:t>S$1.50m</w:t>
            </w:r>
          </w:p>
        </w:tc>
        <w:tc>
          <w:tcPr>
            <w:tcW w:type="dxa" w:w="929"/>
          </w:tcPr>
          <w:p>
            <w:pPr>
              <w:spacing w:after="0" w:line="240" w:lineRule="auto"/>
            </w:pPr>
            <w:r>
              <w:rPr>
                <w:sz w:val="18"/>
              </w:rPr>
              <w:t>Opening</w:t>
            </w:r>
          </w:p>
        </w:tc>
        <w:tc>
          <w:tcPr>
            <w:tcW w:type="dxa" w:w="929"/>
          </w:tcPr>
          <w:p>
            <w:pPr>
              <w:spacing w:after="0" w:line="240" w:lineRule="auto"/>
            </w:pPr>
            <w:r>
              <w:rPr>
                <w:sz w:val="18"/>
              </w:rPr>
              <w:t>None</w:t>
            </w:r>
          </w:p>
        </w:tc>
        <w:tc>
          <w:tcPr>
            <w:tcW w:type="dxa" w:w="2674"/>
          </w:tcPr>
          <w:p>
            <w:pPr>
              <w:spacing w:after="0" w:line="240" w:lineRule="auto"/>
            </w:pPr>
            <w:r>
              <w:rPr>
                <w:sz w:val="18"/>
              </w:rPr>
              <w:t>Ambitious anchor, possibly lowball</w:t>
            </w:r>
          </w:p>
        </w:tc>
        <w:tc>
          <w:tcPr>
            <w:tcW w:type="dxa" w:w="2606"/>
          </w:tcPr>
          <w:p>
            <w:pPr>
              <w:spacing w:after="0" w:line="240" w:lineRule="auto"/>
            </w:pPr>
            <w:r>
              <w:rPr>
                <w:sz w:val="18"/>
              </w:rPr>
              <w:t>Defensible only with comparables</w:t>
            </w:r>
          </w:p>
        </w:tc>
      </w:tr>
      <w:tr>
        <w:trPr>
          <w:cantSplit/>
        </w:trPr>
        <w:tc>
          <w:tcPr>
            <w:tcW w:type="dxa" w:w="929"/>
            <w:shd w:val="clear" w:color="auto" w:fill="F3F6FA"/>
          </w:tcPr>
          <w:p>
            <w:pPr>
              <w:spacing w:after="0" w:line="240" w:lineRule="auto"/>
            </w:pPr>
            <w:r>
              <w:rPr>
                <w:sz w:val="18"/>
              </w:rPr>
              <w:t>2</w:t>
            </w:r>
          </w:p>
        </w:tc>
        <w:tc>
          <w:tcPr>
            <w:tcW w:type="dxa" w:w="962"/>
            <w:shd w:val="clear" w:color="auto" w:fill="F3F6FA"/>
          </w:tcPr>
          <w:p>
            <w:pPr>
              <w:spacing w:after="0" w:line="240" w:lineRule="auto"/>
            </w:pPr>
            <w:r>
              <w:rPr>
                <w:sz w:val="18"/>
              </w:rPr>
              <w:t>S$1.65m</w:t>
            </w:r>
          </w:p>
        </w:tc>
        <w:tc>
          <w:tcPr>
            <w:tcW w:type="dxa" w:w="929"/>
            <w:shd w:val="clear" w:color="auto" w:fill="F3F6FA"/>
          </w:tcPr>
          <w:p>
            <w:pPr>
              <w:spacing w:after="0" w:line="240" w:lineRule="auto"/>
            </w:pPr>
            <w:r>
              <w:rPr>
                <w:sz w:val="18"/>
              </w:rPr>
              <w:t>+S$150k</w:t>
            </w:r>
          </w:p>
        </w:tc>
        <w:tc>
          <w:tcPr>
            <w:tcW w:type="dxa" w:w="929"/>
            <w:shd w:val="clear" w:color="auto" w:fill="F3F6FA"/>
          </w:tcPr>
          <w:p>
            <w:pPr>
              <w:spacing w:after="0" w:line="240" w:lineRule="auto"/>
            </w:pPr>
            <w:r>
              <w:rPr>
                <w:sz w:val="18"/>
              </w:rPr>
              <w:t>None</w:t>
            </w:r>
          </w:p>
        </w:tc>
        <w:tc>
          <w:tcPr>
            <w:tcW w:type="dxa" w:w="2674"/>
            <w:shd w:val="clear" w:color="auto" w:fill="F3F6FA"/>
          </w:tcPr>
          <w:p>
            <w:pPr>
              <w:spacing w:after="0" w:line="240" w:lineRule="auto"/>
            </w:pPr>
            <w:r>
              <w:rPr>
                <w:sz w:val="18"/>
              </w:rPr>
              <w:t>“There is a lot more room”</w:t>
            </w:r>
          </w:p>
        </w:tc>
        <w:tc>
          <w:tcPr>
            <w:tcW w:type="dxa" w:w="2606"/>
            <w:shd w:val="clear" w:color="auto" w:fill="F3F6FA"/>
          </w:tcPr>
          <w:p>
            <w:pPr>
              <w:spacing w:after="0" w:line="240" w:lineRule="auto"/>
            </w:pPr>
            <w:r>
              <w:rPr>
                <w:sz w:val="18"/>
              </w:rPr>
              <w:t>Large, unconditional; gives away information</w:t>
            </w:r>
          </w:p>
        </w:tc>
      </w:tr>
      <w:tr>
        <w:trPr>
          <w:cantSplit/>
        </w:trPr>
        <w:tc>
          <w:tcPr>
            <w:tcW w:type="dxa" w:w="929"/>
          </w:tcPr>
          <w:p>
            <w:pPr>
              <w:spacing w:after="0" w:line="240" w:lineRule="auto"/>
            </w:pPr>
            <w:r>
              <w:rPr>
                <w:sz w:val="18"/>
              </w:rPr>
              <w:t>3</w:t>
            </w:r>
          </w:p>
        </w:tc>
        <w:tc>
          <w:tcPr>
            <w:tcW w:type="dxa" w:w="962"/>
          </w:tcPr>
          <w:p>
            <w:pPr>
              <w:spacing w:after="0" w:line="240" w:lineRule="auto"/>
            </w:pPr>
            <w:r>
              <w:rPr>
                <w:sz w:val="18"/>
              </w:rPr>
              <w:t>S$1.70m</w:t>
            </w:r>
          </w:p>
        </w:tc>
        <w:tc>
          <w:tcPr>
            <w:tcW w:type="dxa" w:w="929"/>
          </w:tcPr>
          <w:p>
            <w:pPr>
              <w:spacing w:after="0" w:line="240" w:lineRule="auto"/>
            </w:pPr>
            <w:r>
              <w:rPr>
                <w:sz w:val="18"/>
              </w:rPr>
              <w:t>+S$50k</w:t>
            </w:r>
          </w:p>
        </w:tc>
        <w:tc>
          <w:tcPr>
            <w:tcW w:type="dxa" w:w="929"/>
          </w:tcPr>
          <w:p>
            <w:pPr>
              <w:spacing w:after="0" w:line="240" w:lineRule="auto"/>
            </w:pPr>
            <w:r>
              <w:rPr>
                <w:sz w:val="18"/>
              </w:rPr>
              <w:t>None</w:t>
            </w:r>
          </w:p>
        </w:tc>
        <w:tc>
          <w:tcPr>
            <w:tcW w:type="dxa" w:w="2674"/>
          </w:tcPr>
          <w:p>
            <w:pPr>
              <w:spacing w:after="0" w:line="240" w:lineRule="auto"/>
            </w:pPr>
            <w:r>
              <w:rPr>
                <w:sz w:val="18"/>
              </w:rPr>
              <w:t>“Keep pushing; he moves when pressed”</w:t>
            </w:r>
          </w:p>
        </w:tc>
        <w:tc>
          <w:tcPr>
            <w:tcW w:type="dxa" w:w="2606"/>
          </w:tcPr>
          <w:p>
            <w:pPr>
              <w:spacing w:after="0" w:line="240" w:lineRule="auto"/>
            </w:pPr>
            <w:r>
              <w:rPr>
                <w:sz w:val="18"/>
              </w:rPr>
              <w:t>Rewards pressure; no exchange</w:t>
            </w:r>
          </w:p>
        </w:tc>
      </w:tr>
      <w:tr>
        <w:trPr>
          <w:cantSplit/>
        </w:trPr>
        <w:tc>
          <w:tcPr>
            <w:tcW w:type="dxa" w:w="929"/>
            <w:shd w:val="clear" w:color="auto" w:fill="F3F6FA"/>
          </w:tcPr>
          <w:p>
            <w:pPr>
              <w:spacing w:after="0" w:line="240" w:lineRule="auto"/>
            </w:pPr>
            <w:r>
              <w:rPr>
                <w:sz w:val="18"/>
              </w:rPr>
              <w:t>4</w:t>
            </w:r>
          </w:p>
        </w:tc>
        <w:tc>
          <w:tcPr>
            <w:tcW w:type="dxa" w:w="962"/>
            <w:shd w:val="clear" w:color="auto" w:fill="F3F6FA"/>
          </w:tcPr>
          <w:p>
            <w:pPr>
              <w:spacing w:after="0" w:line="240" w:lineRule="auto"/>
            </w:pPr>
            <w:r>
              <w:rPr>
                <w:sz w:val="18"/>
              </w:rPr>
              <w:t>S$1.72m “final”</w:t>
            </w:r>
          </w:p>
        </w:tc>
        <w:tc>
          <w:tcPr>
            <w:tcW w:type="dxa" w:w="929"/>
            <w:shd w:val="clear" w:color="auto" w:fill="F3F6FA"/>
          </w:tcPr>
          <w:p>
            <w:pPr>
              <w:spacing w:after="0" w:line="240" w:lineRule="auto"/>
            </w:pPr>
            <w:r>
              <w:rPr>
                <w:sz w:val="18"/>
              </w:rPr>
              <w:t>+S$20k</w:t>
            </w:r>
          </w:p>
        </w:tc>
        <w:tc>
          <w:tcPr>
            <w:tcW w:type="dxa" w:w="929"/>
            <w:shd w:val="clear" w:color="auto" w:fill="F3F6FA"/>
          </w:tcPr>
          <w:p>
            <w:pPr>
              <w:spacing w:after="0" w:line="240" w:lineRule="auto"/>
            </w:pPr>
            <w:r>
              <w:rPr>
                <w:sz w:val="18"/>
              </w:rPr>
              <w:t>None</w:t>
            </w:r>
          </w:p>
        </w:tc>
        <w:tc>
          <w:tcPr>
            <w:tcW w:type="dxa" w:w="2674"/>
            <w:shd w:val="clear" w:color="auto" w:fill="F3F6FA"/>
          </w:tcPr>
          <w:p>
            <w:pPr>
              <w:spacing w:after="0" w:line="240" w:lineRule="auto"/>
            </w:pPr>
            <w:r>
              <w:rPr>
                <w:sz w:val="18"/>
              </w:rPr>
              <w:t>Final-offer claim after three moves</w:t>
            </w:r>
          </w:p>
        </w:tc>
        <w:tc>
          <w:tcPr>
            <w:tcW w:type="dxa" w:w="2606"/>
            <w:shd w:val="clear" w:color="auto" w:fill="F3F6FA"/>
          </w:tcPr>
          <w:p>
            <w:pPr>
              <w:spacing w:after="0" w:line="240" w:lineRule="auto"/>
            </w:pPr>
            <w:r>
              <w:rPr>
                <w:sz w:val="18"/>
              </w:rPr>
              <w:t>Credibility at risk if I move again</w:t>
            </w:r>
          </w:p>
        </w:tc>
      </w:tr>
    </w:tbl>
    <w:p>
      <w:pPr>
        <w:spacing w:after="0" w:line="144" w:lineRule="auto"/>
      </w:pPr>
      <w:r>
        <w:rPr>
          <w:sz w:val="8"/>
        </w:rPr>
        <w:t xml:space="preserve"> </w:t>
      </w:r>
    </w:p>
    <w:p>
      <w:pPr>
        <w:keepNext/>
        <w:spacing w:before="120" w:after="60"/>
      </w:pPr>
      <w:r>
        <w:rPr>
          <w:b/>
          <w:color w:val="173B67"/>
          <w:sz w:val="20"/>
        </w:rPr>
        <w:t>Table 10. Concession-signal audit – audited path (my developing approach)</w:t>
      </w:r>
    </w:p>
    <w:tbl>
      <w:tblPr>
        <w:tblStyle w:val="TableGrid"/>
        <w:tblW w:type="auto" w:w="0"/>
        <w:jc w:val="center"/>
        <w:tblLook w:firstColumn="1" w:firstRow="1" w:lastColumn="0" w:lastRow="0" w:noHBand="0" w:noVBand="1" w:val="04A0"/>
        <w:tblLayout w:type="fixed"/>
      </w:tblPr>
      <w:tblGrid>
        <w:gridCol w:w="902"/>
        <w:gridCol w:w="902"/>
        <w:gridCol w:w="902"/>
        <w:gridCol w:w="2357"/>
        <w:gridCol w:w="1810"/>
        <w:gridCol w:w="2152"/>
      </w:tblGrid>
      <w:tr>
        <w:trPr>
          <w:cantSplit/>
          <w:tblHeader w:val="true"/>
        </w:trPr>
        <w:tc>
          <w:tcPr>
            <w:tcW w:type="dxa" w:w="903"/>
            <w:shd w:val="clear" w:color="auto" w:fill="173B67"/>
          </w:tcPr>
          <w:p>
            <w:pPr>
              <w:spacing w:after="0" w:line="240" w:lineRule="auto"/>
            </w:pPr>
            <w:r>
              <w:rPr>
                <w:b/>
                <w:color w:val="FFFFFF"/>
                <w:sz w:val="18"/>
              </w:rPr>
              <w:t>Round</w:t>
            </w:r>
          </w:p>
        </w:tc>
        <w:tc>
          <w:tcPr>
            <w:tcW w:type="dxa" w:w="903"/>
            <w:shd w:val="clear" w:color="auto" w:fill="173B67"/>
          </w:tcPr>
          <w:p>
            <w:pPr>
              <w:spacing w:after="0" w:line="240" w:lineRule="auto"/>
            </w:pPr>
            <w:r>
              <w:rPr>
                <w:b/>
                <w:color w:val="FFFFFF"/>
                <w:sz w:val="18"/>
              </w:rPr>
              <w:t>My offer</w:t>
            </w:r>
          </w:p>
        </w:tc>
        <w:tc>
          <w:tcPr>
            <w:tcW w:type="dxa" w:w="903"/>
            <w:shd w:val="clear" w:color="auto" w:fill="173B67"/>
          </w:tcPr>
          <w:p>
            <w:pPr>
              <w:spacing w:after="0" w:line="240" w:lineRule="auto"/>
            </w:pPr>
            <w:r>
              <w:rPr>
                <w:b/>
                <w:color w:val="FFFFFF"/>
                <w:sz w:val="18"/>
              </w:rPr>
              <w:t>Movement</w:t>
            </w:r>
          </w:p>
        </w:tc>
        <w:tc>
          <w:tcPr>
            <w:tcW w:type="dxa" w:w="2358"/>
            <w:shd w:val="clear" w:color="auto" w:fill="173B67"/>
          </w:tcPr>
          <w:p>
            <w:pPr>
              <w:spacing w:after="0" w:line="240" w:lineRule="auto"/>
            </w:pPr>
            <w:r>
              <w:rPr>
                <w:b/>
                <w:color w:val="FFFFFF"/>
                <w:sz w:val="18"/>
              </w:rPr>
              <w:t>Condition attached</w:t>
            </w:r>
          </w:p>
        </w:tc>
        <w:tc>
          <w:tcPr>
            <w:tcW w:type="dxa" w:w="1810"/>
            <w:shd w:val="clear" w:color="auto" w:fill="173B67"/>
          </w:tcPr>
          <w:p>
            <w:pPr>
              <w:spacing w:after="0" w:line="240" w:lineRule="auto"/>
            </w:pPr>
            <w:r>
              <w:rPr>
                <w:b/>
                <w:color w:val="FFFFFF"/>
                <w:sz w:val="18"/>
              </w:rPr>
              <w:t>Signal the seller may read</w:t>
            </w:r>
          </w:p>
        </w:tc>
        <w:tc>
          <w:tcPr>
            <w:tcW w:type="dxa" w:w="2152"/>
            <w:shd w:val="clear" w:color="auto" w:fill="173B67"/>
          </w:tcPr>
          <w:p>
            <w:pPr>
              <w:spacing w:after="0" w:line="240" w:lineRule="auto"/>
            </w:pPr>
            <w:r>
              <w:rPr>
                <w:b/>
                <w:color w:val="FFFFFF"/>
                <w:sz w:val="18"/>
              </w:rPr>
              <w:t>Audit verdict</w:t>
            </w:r>
          </w:p>
        </w:tc>
      </w:tr>
      <w:tr>
        <w:trPr>
          <w:cantSplit/>
        </w:trPr>
        <w:tc>
          <w:tcPr>
            <w:tcW w:type="dxa" w:w="903"/>
          </w:tcPr>
          <w:p>
            <w:pPr>
              <w:spacing w:after="0" w:line="240" w:lineRule="auto"/>
            </w:pPr>
            <w:r>
              <w:rPr>
                <w:sz w:val="18"/>
              </w:rPr>
              <w:t>1</w:t>
            </w:r>
          </w:p>
        </w:tc>
        <w:tc>
          <w:tcPr>
            <w:tcW w:type="dxa" w:w="903"/>
          </w:tcPr>
          <w:p>
            <w:pPr>
              <w:spacing w:after="0" w:line="240" w:lineRule="auto"/>
            </w:pPr>
            <w:r>
              <w:rPr>
                <w:sz w:val="18"/>
              </w:rPr>
              <w:t>S$1.50m</w:t>
            </w:r>
          </w:p>
        </w:tc>
        <w:tc>
          <w:tcPr>
            <w:tcW w:type="dxa" w:w="903"/>
          </w:tcPr>
          <w:p>
            <w:pPr>
              <w:spacing w:after="0" w:line="240" w:lineRule="auto"/>
            </w:pPr>
            <w:r>
              <w:rPr>
                <w:sz w:val="18"/>
              </w:rPr>
              <w:t>Opening</w:t>
            </w:r>
          </w:p>
        </w:tc>
        <w:tc>
          <w:tcPr>
            <w:tcW w:type="dxa" w:w="2358"/>
          </w:tcPr>
          <w:p>
            <w:pPr>
              <w:spacing w:after="0" w:line="240" w:lineRule="auto"/>
            </w:pPr>
            <w:r>
              <w:rPr>
                <w:sz w:val="18"/>
              </w:rPr>
              <w:t>Explained with condition and comparables</w:t>
            </w:r>
          </w:p>
        </w:tc>
        <w:tc>
          <w:tcPr>
            <w:tcW w:type="dxa" w:w="1810"/>
          </w:tcPr>
          <w:p>
            <w:pPr>
              <w:spacing w:after="0" w:line="240" w:lineRule="auto"/>
            </w:pPr>
            <w:r>
              <w:rPr>
                <w:sz w:val="18"/>
              </w:rPr>
              <w:t>Ambitious but reasoned</w:t>
            </w:r>
          </w:p>
        </w:tc>
        <w:tc>
          <w:tcPr>
            <w:tcW w:type="dxa" w:w="2152"/>
          </w:tcPr>
          <w:p>
            <w:pPr>
              <w:spacing w:after="0" w:line="240" w:lineRule="auto"/>
            </w:pPr>
            <w:r>
              <w:rPr>
                <w:sz w:val="18"/>
              </w:rPr>
              <w:t>Anchor with justification</w:t>
            </w:r>
          </w:p>
        </w:tc>
      </w:tr>
      <w:tr>
        <w:trPr>
          <w:cantSplit/>
        </w:trPr>
        <w:tc>
          <w:tcPr>
            <w:tcW w:type="dxa" w:w="903"/>
            <w:shd w:val="clear" w:color="auto" w:fill="F3F6FA"/>
          </w:tcPr>
          <w:p>
            <w:pPr>
              <w:spacing w:after="0" w:line="240" w:lineRule="auto"/>
            </w:pPr>
            <w:r>
              <w:rPr>
                <w:sz w:val="18"/>
              </w:rPr>
              <w:t>2</w:t>
            </w:r>
          </w:p>
        </w:tc>
        <w:tc>
          <w:tcPr>
            <w:tcW w:type="dxa" w:w="903"/>
            <w:shd w:val="clear" w:color="auto" w:fill="F3F6FA"/>
          </w:tcPr>
          <w:p>
            <w:pPr>
              <w:spacing w:after="0" w:line="240" w:lineRule="auto"/>
            </w:pPr>
            <w:r>
              <w:rPr>
                <w:sz w:val="18"/>
              </w:rPr>
              <w:t>S$1.58m</w:t>
            </w:r>
          </w:p>
        </w:tc>
        <w:tc>
          <w:tcPr>
            <w:tcW w:type="dxa" w:w="903"/>
            <w:shd w:val="clear" w:color="auto" w:fill="F3F6FA"/>
          </w:tcPr>
          <w:p>
            <w:pPr>
              <w:spacing w:after="0" w:line="240" w:lineRule="auto"/>
            </w:pPr>
            <w:r>
              <w:rPr>
                <w:sz w:val="18"/>
              </w:rPr>
              <w:t>+S$80k</w:t>
            </w:r>
          </w:p>
        </w:tc>
        <w:tc>
          <w:tcPr>
            <w:tcW w:type="dxa" w:w="2358"/>
            <w:shd w:val="clear" w:color="auto" w:fill="F3F6FA"/>
          </w:tcPr>
          <w:p>
            <w:pPr>
              <w:spacing w:after="0" w:line="240" w:lineRule="auto"/>
            </w:pPr>
            <w:r>
              <w:rPr>
                <w:sz w:val="18"/>
              </w:rPr>
              <w:t>If 8-week completion works for you</w:t>
            </w:r>
          </w:p>
        </w:tc>
        <w:tc>
          <w:tcPr>
            <w:tcW w:type="dxa" w:w="1810"/>
            <w:shd w:val="clear" w:color="auto" w:fill="F3F6FA"/>
          </w:tcPr>
          <w:p>
            <w:pPr>
              <w:spacing w:after="0" w:line="240" w:lineRule="auto"/>
            </w:pPr>
            <w:r>
              <w:rPr>
                <w:sz w:val="18"/>
              </w:rPr>
              <w:t>Meaningful movement, tied to her interest</w:t>
            </w:r>
          </w:p>
        </w:tc>
        <w:tc>
          <w:tcPr>
            <w:tcW w:type="dxa" w:w="2152"/>
            <w:shd w:val="clear" w:color="auto" w:fill="F3F6FA"/>
          </w:tcPr>
          <w:p>
            <w:pPr>
              <w:spacing w:after="0" w:line="240" w:lineRule="auto"/>
            </w:pPr>
            <w:r>
              <w:rPr>
                <w:sz w:val="18"/>
              </w:rPr>
              <w:t>Link: exchange, not gift</w:t>
            </w:r>
          </w:p>
        </w:tc>
      </w:tr>
      <w:tr>
        <w:trPr>
          <w:cantSplit/>
        </w:trPr>
        <w:tc>
          <w:tcPr>
            <w:tcW w:type="dxa" w:w="903"/>
          </w:tcPr>
          <w:p>
            <w:pPr>
              <w:spacing w:after="0" w:line="240" w:lineRule="auto"/>
            </w:pPr>
            <w:r>
              <w:rPr>
                <w:sz w:val="18"/>
              </w:rPr>
              <w:t>3</w:t>
            </w:r>
          </w:p>
        </w:tc>
        <w:tc>
          <w:tcPr>
            <w:tcW w:type="dxa" w:w="903"/>
          </w:tcPr>
          <w:p>
            <w:pPr>
              <w:spacing w:after="0" w:line="240" w:lineRule="auto"/>
            </w:pPr>
            <w:r>
              <w:rPr>
                <w:sz w:val="18"/>
              </w:rPr>
              <w:t>S$1.62m</w:t>
            </w:r>
          </w:p>
        </w:tc>
        <w:tc>
          <w:tcPr>
            <w:tcW w:type="dxa" w:w="903"/>
          </w:tcPr>
          <w:p>
            <w:pPr>
              <w:spacing w:after="0" w:line="240" w:lineRule="auto"/>
            </w:pPr>
            <w:r>
              <w:rPr>
                <w:sz w:val="18"/>
              </w:rPr>
              <w:t>+S$40k</w:t>
            </w:r>
          </w:p>
        </w:tc>
        <w:tc>
          <w:tcPr>
            <w:tcW w:type="dxa" w:w="2358"/>
          </w:tcPr>
          <w:p>
            <w:pPr>
              <w:spacing w:after="0" w:line="240" w:lineRule="auto"/>
            </w:pPr>
            <w:r>
              <w:rPr>
                <w:sz w:val="18"/>
              </w:rPr>
              <w:t>If unit is accepted as-is</w:t>
            </w:r>
          </w:p>
        </w:tc>
        <w:tc>
          <w:tcPr>
            <w:tcW w:type="dxa" w:w="1810"/>
          </w:tcPr>
          <w:p>
            <w:pPr>
              <w:spacing w:after="0" w:line="240" w:lineRule="auto"/>
            </w:pPr>
            <w:r>
              <w:rPr>
                <w:sz w:val="18"/>
              </w:rPr>
              <w:t>Room narrowing</w:t>
            </w:r>
          </w:p>
        </w:tc>
        <w:tc>
          <w:tcPr>
            <w:tcW w:type="dxa" w:w="2152"/>
          </w:tcPr>
          <w:p>
            <w:pPr>
              <w:spacing w:after="0" w:line="240" w:lineRule="auto"/>
            </w:pPr>
            <w:r>
              <w:rPr>
                <w:sz w:val="18"/>
              </w:rPr>
              <w:t>Shrinking concession; condition traded</w:t>
            </w:r>
          </w:p>
        </w:tc>
      </w:tr>
      <w:tr>
        <w:trPr>
          <w:cantSplit/>
        </w:trPr>
        <w:tc>
          <w:tcPr>
            <w:tcW w:type="dxa" w:w="903"/>
            <w:shd w:val="clear" w:color="auto" w:fill="F3F6FA"/>
          </w:tcPr>
          <w:p>
            <w:pPr>
              <w:spacing w:after="0" w:line="240" w:lineRule="auto"/>
            </w:pPr>
            <w:r>
              <w:rPr>
                <w:sz w:val="18"/>
              </w:rPr>
              <w:t>4</w:t>
            </w:r>
          </w:p>
        </w:tc>
        <w:tc>
          <w:tcPr>
            <w:tcW w:type="dxa" w:w="903"/>
            <w:shd w:val="clear" w:color="auto" w:fill="F3F6FA"/>
          </w:tcPr>
          <w:p>
            <w:pPr>
              <w:spacing w:after="0" w:line="240" w:lineRule="auto"/>
            </w:pPr>
            <w:r>
              <w:rPr>
                <w:sz w:val="18"/>
              </w:rPr>
              <w:t>S$1.64m</w:t>
            </w:r>
          </w:p>
        </w:tc>
        <w:tc>
          <w:tcPr>
            <w:tcW w:type="dxa" w:w="903"/>
            <w:shd w:val="clear" w:color="auto" w:fill="F3F6FA"/>
          </w:tcPr>
          <w:p>
            <w:pPr>
              <w:spacing w:after="0" w:line="240" w:lineRule="auto"/>
            </w:pPr>
            <w:r>
              <w:rPr>
                <w:sz w:val="18"/>
              </w:rPr>
              <w:t>+S$20k</w:t>
            </w:r>
          </w:p>
        </w:tc>
        <w:tc>
          <w:tcPr>
            <w:tcW w:type="dxa" w:w="2358"/>
            <w:shd w:val="clear" w:color="auto" w:fill="F3F6FA"/>
          </w:tcPr>
          <w:p>
            <w:pPr>
              <w:spacing w:after="0" w:line="240" w:lineRule="auto"/>
            </w:pPr>
            <w:r>
              <w:rPr>
                <w:sz w:val="18"/>
              </w:rPr>
              <w:t>With proof of financing and written terms tomorrow</w:t>
            </w:r>
          </w:p>
        </w:tc>
        <w:tc>
          <w:tcPr>
            <w:tcW w:type="dxa" w:w="1810"/>
            <w:shd w:val="clear" w:color="auto" w:fill="F3F6FA"/>
          </w:tcPr>
          <w:p>
            <w:pPr>
              <w:spacing w:after="0" w:line="240" w:lineRule="auto"/>
            </w:pPr>
            <w:r>
              <w:rPr>
                <w:sz w:val="18"/>
              </w:rPr>
              <w:t>Approaching limit</w:t>
            </w:r>
          </w:p>
        </w:tc>
        <w:tc>
          <w:tcPr>
            <w:tcW w:type="dxa" w:w="2152"/>
            <w:shd w:val="clear" w:color="auto" w:fill="F3F6FA"/>
          </w:tcPr>
          <w:p>
            <w:pPr>
              <w:spacing w:after="0" w:line="240" w:lineRule="auto"/>
            </w:pPr>
            <w:r>
              <w:rPr>
                <w:sz w:val="18"/>
              </w:rPr>
              <w:t>Precise, small, credible; no “final” claim needed</w:t>
            </w:r>
          </w:p>
        </w:tc>
      </w:tr>
    </w:tbl>
    <w:p>
      <w:pPr>
        <w:spacing w:after="0" w:line="144" w:lineRule="auto"/>
      </w:pPr>
      <w:r>
        <w:rPr>
          <w:sz w:val="8"/>
        </w:rPr>
        <w:t xml:space="preserve"> </w:t>
      </w:r>
    </w:p>
    <w:p>
      <w:r>
        <w:rPr>
          <w:b/>
        </w:rPr>
        <w:t>Critical question.</w:t>
      </w:r>
      <w:r>
        <w:t xml:space="preserve"> Is the audited path manipulative – am I engineering an impression? I do not think so, provided every signal is truthful. Shrinking concessions honestly communicate that I am approaching my limit, and conditional concessions honestly communicate what I value. What would be manipulative is the unaudited path’s ending: calling S$1.72m “final” when it is not. Being friendly does not mean revealing my reservation point. I can be truthful while protecting information that would unnecessarily weaken my position.</w:t>
      </w:r>
    </w:p>
    <w:p>
      <w:r>
        <w:rPr>
          <w:b/>
        </w:rPr>
        <w:t>Application.</w:t>
      </w:r>
      <w:r>
        <w:t xml:space="preserve"> Instead of “I can add S$20,000,” I can say, “If the seller can work with the earlier completion and accept the property as-is, I may be able to improve my offer.” This connects to Link in Break-Link-Overlap. Before every move I now ask three questions: Why am I moving? What am I getting for it? What will this movement tell the other side?</w:t>
      </w:r>
    </w:p>
    <w:p>
      <w:pPr>
        <w:pBdr>
          <w:left w:val="single" w:sz="24" w:space="6" w:color="A86E17"/>
        </w:pBdr>
        <w:shd w:val="clear" w:color="auto" w:fill="FFF7E7"/>
        <w:spacing w:before="80" w:after="160"/>
      </w:pPr>
      <w:r>
        <w:rPr>
          <w:b/>
          <w:color w:val="A86E17"/>
        </w:rPr>
        <w:t>My Rule #11:</w:t>
      </w:r>
      <w:r>
        <w:rPr>
          <w:b/>
        </w:rPr>
        <w:t xml:space="preserve"> Never make a concession automatically. Understand why I am moving and exchange rather than simply give.</w:t>
      </w:r>
    </w:p>
    <w:p>
      <w:pPr>
        <w:pStyle w:val="Heading1"/>
      </w:pPr>
      <w:r>
        <w:t>Part 12 – Threats, Commitments, Signalling and Credibility</w:t>
      </w:r>
    </w:p>
    <w:p>
      <w:r>
        <w:rPr>
          <w:b/>
        </w:rPr>
        <w:t>The moment.</w:t>
      </w:r>
      <w:r>
        <w:t xml:space="preserve"> A smaller commercial equivalent of brinkmanship is the phrase “This is my final offer.” I have been tempted to use it simply to end a conversation that felt tiring. If I say S$1.65m is absolutely final and then return with S$1.67m after rejection, I teach the other party that my commitments are not credible.</w:t>
      </w:r>
    </w:p>
    <w:p>
      <w:r>
        <w:rPr>
          <w:b/>
        </w:rPr>
        <w:t>The concept.</w:t>
      </w:r>
      <w:r>
        <w:t xml:space="preserve"> The Cuban Missile Crisis material asks how threats and commitments become credible and examines brinkmanship, restricting freedom of action, delegation, reputation, ordered escalation and other commitment devices. It also highlights verbal and non-verbal signalling and deliberate inaction (Chao, 2026, Cuban Missile Crisis). Malhotra and Bazerman (2007) warn about the escalation of commitment: once negotiators have invested time, effort or face in a course of action, they tend to keep investing even when the evidence suggests they should stop.</w:t>
      </w:r>
    </w:p>
    <w:p>
      <w:r>
        <w:rPr>
          <w:b/>
        </w:rPr>
        <w:t>Critical question.</w:t>
      </w:r>
      <w:r>
        <w:t xml:space="preserve"> Escalation of commitment cuts both ways in my property example. It explains why I might overpay after weeks of viewings and negotiation – “I have come this far”. It also explains why I might refuse a good deal after I have publicly said “final”. The common root is that a past statement or investment starts to govern a present decision. BATNA is the antidote, because it re-anchors my decision on the future value of my alternatives rather than on sunk effort.</w:t>
      </w:r>
    </w:p>
    <w:p>
      <w:r>
        <w:rPr>
          <w:b/>
        </w:rPr>
        <w:t>Application.</w:t>
      </w:r>
      <w:r>
        <w:t xml:space="preserve"> BATNA is different from a threat. I can know that I have another property available without saying, “Accept today or I buy the other unit.” The alternative gives me discipline even if I never weaponise it. Escalation can transform a substantive disagreement into a contest over pride and face. The stronger strategy may be to preserve credibility and refuse unnecessary escalation. In the lab, the artificial “final offer” in Step 4 carries the heaviest single penalty.</w:t>
      </w:r>
    </w:p>
    <w:p>
      <w:pPr>
        <w:pBdr>
          <w:left w:val="single" w:sz="24" w:space="6" w:color="A86E17"/>
        </w:pBdr>
        <w:shd w:val="clear" w:color="auto" w:fill="FFF7E7"/>
        <w:spacing w:before="80" w:after="160"/>
      </w:pPr>
      <w:r>
        <w:rPr>
          <w:b/>
          <w:color w:val="A86E17"/>
        </w:rPr>
        <w:t>My Rule #12:</w:t>
      </w:r>
      <w:r>
        <w:rPr>
          <w:b/>
        </w:rPr>
        <w:t xml:space="preserve"> Do not make threats or commitments casually. Credibility is more valuable than short-term pressure.</w:t>
      </w:r>
    </w:p>
    <w:p>
      <w:pPr>
        <w:pStyle w:val="Heading1"/>
      </w:pPr>
      <w:r>
        <w:t>Part 13 – Cross-Cultural Negotiation: Relationship Before Transaction</w:t>
      </w:r>
    </w:p>
    <w:p>
      <w:r>
        <w:rPr>
          <w:b/>
        </w:rPr>
        <w:t>The moment.</w:t>
      </w:r>
      <w:r>
        <w:t xml:space="preserve"> My own genuine observation from dealing with Chinese businesspeople is that they can spend time building the relationship before moving directly into the transaction.</w:t>
      </w:r>
    </w:p>
    <w:p>
      <w:r>
        <w:rPr>
          <w:b/>
        </w:rPr>
        <w:t>The concept.</w:t>
      </w:r>
      <w:r>
        <w:t xml:space="preserve"> Cross-cultural negotiation is a major part of the syllabus. The course includes Barnga, Alpha-Beta, Mouse, a Chinese dining-table exercise, the 36 Stratagems, and lectures on high- versus low-context communication, non-verbal communication, time and sequence, relationship building, decision mechanisms, Guan-Xi and Mian-Zi (Chao, 2026, BMS5410 Syllabus). If the counterpart needs trust before sharing information or committing, relationship building is not separate from the “real” negotiation; it is part of the negotiation. The initial meal, informal discussion or time spent getting to know each other can answer questions such as: Is this person serious? Can I trust him? Can we work together? Will he keep his word?</w:t>
      </w:r>
    </w:p>
    <w:p>
      <w:r>
        <w:rPr>
          <w:b/>
        </w:rPr>
        <w:t>Critical question.</w:t>
      </w:r>
      <w:r>
        <w:t xml:space="preserve"> Two tensions remain unresolved for me. First, culture can easily become stereotype: not every Chinese counterpart prioritises relationship-building, and I am myself a product of several cultural influences. Culture should guide inquiry, not predetermine the individual. Second, relationship-building can be used strategically – several of the 36 Stratagems are about creating impressions – so warmth is not automatically evidence of trustworthiness. The practical answer I have reached is to invest in relationship while continuing to verify substance.</w:t>
      </w:r>
    </w:p>
    <w:p>
      <w:r>
        <w:rPr>
          <w:b/>
        </w:rPr>
        <w:t>Application.</w:t>
      </w:r>
      <w:r>
        <w:t xml:space="preserve"> In a Singapore property context, the “face-sensitive seller” profile in the lab is my attempt to capture Mian-Zi: a seller who needs a price she can justify to her family. The strong response is not to argue her down but to give her a defensible story – comparables, certainty and terms that make a lower number look reasonable to the people she answers to. Adapting culturally does not mean conceding. It means adapting how I communicate while protecting my substantive interests.</w:t>
      </w:r>
    </w:p>
    <w:p>
      <w:pPr>
        <w:pBdr>
          <w:left w:val="single" w:sz="24" w:space="6" w:color="A86E17"/>
        </w:pBdr>
        <w:shd w:val="clear" w:color="auto" w:fill="FFF7E7"/>
        <w:spacing w:before="80" w:after="160"/>
      </w:pPr>
      <w:r>
        <w:rPr>
          <w:b/>
          <w:color w:val="A86E17"/>
        </w:rPr>
        <w:t>My Rule #13:</w:t>
      </w:r>
      <w:r>
        <w:rPr>
          <w:b/>
        </w:rPr>
        <w:t xml:space="preserve"> Adapt my negotiation style to the counterpart. Treat culture as a guide for inquiry, not a stereotype.</w:t>
      </w:r>
    </w:p>
    <w:p>
      <w:pPr>
        <w:pStyle w:val="Heading1"/>
      </w:pPr>
      <w:r>
        <w:t>Part 14 – Learning Through the Course Simulations and Cases</w:t>
      </w:r>
    </w:p>
    <w:p>
      <w:r>
        <w:rPr>
          <w:b/>
        </w:rPr>
        <w:t>The moment.</w:t>
      </w:r>
      <w:r>
        <w:t xml:space="preserve"> The syllabus makes simulation central to the course. It states that the best way of learning is by doing and uses simulations and interactive exercises to create experience, followed by analysis, discussion and frameworks. I therefore treat the simulations and cases as a learning sequence rather than isolated classroom activities. For each one, I record what the debrief taught and one personal takeaway sentence. I do not claim personal simulation outcomes that I cannot verify.</w:t>
      </w:r>
    </w:p>
    <w:p>
      <w:pPr>
        <w:pStyle w:val="Heading2"/>
      </w:pPr>
      <w:r>
        <w:t>Interest Rate – Perception Before Persuasion</w:t>
      </w:r>
    </w:p>
    <w:p>
      <w:r>
        <w:t>Interest Rate opens the course and is followed by the lesson on the three key tensions in negotiation. The Week 1 slides move from the case into partisan perceptions and the Ladder of Inference. My main learning is that disagreement is often intensified by the story each side tells about the other’s intentions. Before persuading, I should check what is fact, interpretation and conclusion.</w:t>
      </w:r>
    </w:p>
    <w:p>
      <w:r>
        <w:rPr>
          <w:b/>
        </w:rPr>
        <w:t>My takeaway:</w:t>
      </w:r>
      <w:r>
        <w:t xml:space="preserve"> The first thing to negotiate is my own interpretation of the other side.</w:t>
      </w:r>
    </w:p>
    <w:p>
      <w:pPr>
        <w:pStyle w:val="Heading2"/>
      </w:pPr>
      <w:r>
        <w:t>Sally Soprano – Claiming and Creating Value</w:t>
      </w:r>
    </w:p>
    <w:p>
      <w:r>
        <w:t>Sally Soprano introduces the distributive and integrative sides of negotiation. The associated Week 3 material covers information asymmetry, anchoring, target and reservation price, shrinking concessions, Break-Link-Overlap, asking “Why?”, package deals, contingent contracts and post-settlement settlement. I use the debrief concepts to structure my property bargaining instincts.</w:t>
      </w:r>
    </w:p>
    <w:p>
      <w:r>
        <w:rPr>
          <w:b/>
        </w:rPr>
        <w:t>My takeaway:</w:t>
      </w:r>
      <w:r>
        <w:t xml:space="preserve"> Claiming and creating value are not alternatives to choose between; they happen in the same conversation, and I must manage both.</w:t>
      </w:r>
    </w:p>
    <w:p>
      <w:pPr>
        <w:pStyle w:val="Heading2"/>
      </w:pPr>
      <w:r>
        <w:t>Powerscreen – Preparation Before Performance</w:t>
      </w:r>
    </w:p>
    <w:p>
      <w:r>
        <w:t>Powerscreen is followed by the 10 Trumps for Effective Negotiation Preparation and Analysis. This connects most directly to my original journal theme: successful negotiation starts before the table. The 3-D/10-element framework changed preparation from “what price and argument do I want?” to a map of People, Substance and Process.</w:t>
      </w:r>
    </w:p>
    <w:p>
      <w:r>
        <w:rPr>
          <w:b/>
        </w:rPr>
        <w:t>My takeaway:</w:t>
      </w:r>
      <w:r>
        <w:t xml:space="preserve"> The quality of my performance at the table is largely decided by the quality of my map before it.</w:t>
      </w:r>
    </w:p>
    <w:p>
      <w:pPr>
        <w:pStyle w:val="Heading2"/>
      </w:pPr>
      <w:r>
        <w:t>Chestnut Village – Multi-Party Complexity</w:t>
      </w:r>
    </w:p>
    <w:p>
      <w:r>
        <w:t>Chestnut Village introduces multiparty negotiation, prenegotiation, group process and agreement. My learning is that adding parties changes the problem qualitatively: coalitions, sequencing, participation, process ownership and consolidation become important.</w:t>
      </w:r>
    </w:p>
    <w:p>
      <w:r>
        <w:rPr>
          <w:b/>
        </w:rPr>
        <w:t>My takeaway:</w:t>
      </w:r>
      <w:r>
        <w:t xml:space="preserve"> In a multiparty setting, deciding how we decide is often the most consequential decision.</w:t>
      </w:r>
    </w:p>
    <w:p>
      <w:pPr>
        <w:pStyle w:val="Heading2"/>
      </w:pPr>
      <w:r>
        <w:t>13 Days / Cuban Missile Crisis – Negotiator as Leader</w:t>
      </w:r>
    </w:p>
    <w:p>
      <w:r>
        <w:t>The case broadens negotiation into leadership. The analysis highlights ICAP, third parties, signalling, deliberate inaction, informal diplomacy, organisational politics and the need to generate options before deciding. A negotiator may have to manage his own side as carefully as the counterpart.</w:t>
      </w:r>
    </w:p>
    <w:p>
      <w:r>
        <w:rPr>
          <w:b/>
        </w:rPr>
        <w:t>My takeaway:</w:t>
      </w:r>
      <w:r>
        <w:t xml:space="preserve"> Leaving the other side a face-saving way out can be a strength rather than a concession.</w:t>
      </w:r>
    </w:p>
    <w:p>
      <w:pPr>
        <w:pStyle w:val="Heading2"/>
      </w:pPr>
      <w:r>
        <w:t>Barnga – Culture and Hidden Rules</w:t>
      </w:r>
    </w:p>
    <w:p>
      <w:r>
        <w:t>The syllabus positions Barnga before the lecture on culture and negotiation, including the Iceberg View and cultural profiling. The learning point I take is that people can enter the same interaction with different underlying rules and assumptions. The challenge is to notice the mismatch rather than immediately judge the other side.</w:t>
      </w:r>
    </w:p>
    <w:p>
      <w:r>
        <w:rPr>
          <w:b/>
        </w:rPr>
        <w:t>My takeaway:</w:t>
      </w:r>
      <w:r>
        <w:t xml:space="preserve"> When someone seems to be “breaking the rules”, my first hypothesis should be that we are playing by different ones.</w:t>
      </w:r>
    </w:p>
    <w:p>
      <w:pPr>
        <w:pStyle w:val="Heading2"/>
      </w:pPr>
      <w:r>
        <w:t>Alpha-Beta – Communication Across Cultural Borders</w:t>
      </w:r>
    </w:p>
    <w:p>
      <w:r>
        <w:t>Alpha-Beta is followed by high- versus low-context communication, non-verbal communication, time and sequence, and global deal-making. Meaning is not contained only in words; context, silence, gesture, timing and sequence can affect interpretation.</w:t>
      </w:r>
    </w:p>
    <w:p>
      <w:r>
        <w:rPr>
          <w:b/>
        </w:rPr>
        <w:t>My takeaway:</w:t>
      </w:r>
      <w:r>
        <w:t xml:space="preserve"> I must listen to context and silence as carefully as to words, especially when I am the outsider.</w:t>
      </w:r>
    </w:p>
    <w:p>
      <w:pPr>
        <w:pStyle w:val="Heading2"/>
      </w:pPr>
      <w:r>
        <w:t>Mouse – Resolving Conflicts Globally</w:t>
      </w:r>
    </w:p>
    <w:p>
      <w:r>
        <w:t>Mouse is followed by relationship building across cultures, decision-making mechanisms, government involvement and different interests, solutions and agreements. This reinforces the need to understand who decides and how legitimacy is created in that environment.</w:t>
      </w:r>
    </w:p>
    <w:p>
      <w:r>
        <w:rPr>
          <w:b/>
        </w:rPr>
        <w:t>My takeaway:</w:t>
      </w:r>
      <w:r>
        <w:t xml:space="preserve"> An agreement is only as strong as its legitimacy in the eyes of the people who must implement it.</w:t>
      </w:r>
    </w:p>
    <w:p>
      <w:pPr>
        <w:pStyle w:val="Heading2"/>
      </w:pPr>
      <w:r>
        <w:t>Chinese Dining Table and 36 Stratagems</w:t>
      </w:r>
    </w:p>
    <w:p>
      <w:r>
        <w:t>The China session includes the dining-table exercise and Stratagems for Mice and Cats, followed by historical and cultural influences, Chinese communication style, Guan-Xi, Mian-Zi, Sun Tzu and the 36 Stratagems. This connects strongly to my observation that relationship building can precede substantive business discussion.</w:t>
      </w:r>
    </w:p>
    <w:p>
      <w:r>
        <w:rPr>
          <w:b/>
        </w:rPr>
        <w:t>My takeaway:</w:t>
      </w:r>
      <w:r>
        <w:t xml:space="preserve"> Seating, sequence and hospitality are part of the negotiation; and knowing the Stratagems helps me recognise tactics without needing to use them.</w:t>
      </w:r>
    </w:p>
    <w:p>
      <w:pPr>
        <w:pStyle w:val="Heading2"/>
      </w:pPr>
      <w:r>
        <w:t>The progression</w:t>
      </w:r>
    </w:p>
    <w:p>
      <w:r>
        <w:t>Across the simulations, the progression is important: perception, distributive/integrative bargaining, preparation, influence, multiparty process, leadership, culture, global deal-making and China. Negotiation capability is cumulative. I still need to anchor well, but I now anchor after diagnosing, in a process I helped design, with people whose mandate I have mapped.</w:t>
      </w:r>
    </w:p>
    <w:p>
      <w:pPr>
        <w:pBdr>
          <w:left w:val="single" w:sz="24" w:space="6" w:color="A86E17"/>
        </w:pBdr>
        <w:shd w:val="clear" w:color="auto" w:fill="FFF7E7"/>
        <w:spacing w:before="80" w:after="160"/>
      </w:pPr>
      <w:r>
        <w:rPr>
          <w:b/>
          <w:color w:val="A86E17"/>
        </w:rPr>
        <w:t>My Rule #14:</w:t>
      </w:r>
      <w:r>
        <w:rPr>
          <w:b/>
        </w:rPr>
        <w:t xml:space="preserve"> Use simulations as experiments on my own behaviour: experience, diagnose, connect to a framework, and specify what I will change next time.</w:t>
      </w:r>
    </w:p>
    <w:p>
      <w:pPr>
        <w:pStyle w:val="Heading1"/>
      </w:pPr>
      <w:r>
        <w:t>Learning Beyond Class: What Outside Reading Changed</w:t>
      </w:r>
    </w:p>
    <w:p>
      <w:r>
        <w:t>The syllabus recommends readings beyond the slides. I read three, and I want to record not what they say in general but what each changed in my behaviour. Name-dropping a book is easy; showing that it changed a specific move is the evidence that matters.</w:t>
      </w:r>
    </w:p>
    <w:p>
      <w:pPr>
        <w:pStyle w:val="Heading2"/>
      </w:pPr>
      <w:r>
        <w:t>Lempereur and Colson, The First Move (2010)</w:t>
      </w:r>
    </w:p>
    <w:p>
      <w:r>
        <w:t xml:space="preserve">Three ideas from this book changed how I behave. First, </w:t>
      </w:r>
      <w:r>
        <w:rPr>
          <w:b/>
        </w:rPr>
        <w:t>preparation is the first move</w:t>
      </w:r>
      <w:r>
        <w:t xml:space="preserve">. The title itself reframed initiative for me: the first move is not the first number but the first deliberate act of preparation and process design. Behaviourally, I now write a one-page People/Substance/Process map before any viewing I am serious about, and I no longer mention a number in a first conversation. Second, </w:t>
      </w:r>
      <w:r>
        <w:rPr>
          <w:b/>
        </w:rPr>
        <w:t>people-centred negotiation</w:t>
      </w:r>
      <w:r>
        <w:t xml:space="preserve">. The book treats the negotiator and counterpart as people with relationships, mandates and constraints, not as abstract positions. This is why the lab’s Step 5 asks about the spouse who must approve: the people dimension is not decoration. Third, </w:t>
      </w:r>
      <w:r>
        <w:rPr>
          <w:b/>
        </w:rPr>
        <w:t>process as a contribution</w:t>
      </w:r>
      <w:r>
        <w:t>. Proposing a sensible structure for the discussion gives legitimacy and influence. In my property application, I now offer the sequence explicitly – “Could we first understand your timing, then look at the comparables together, then talk about price and terms?” – instead of letting the agent’s script define the conversation.</w:t>
      </w:r>
    </w:p>
    <w:p>
      <w:pPr>
        <w:pStyle w:val="Heading2"/>
      </w:pPr>
      <w:r>
        <w:t>Fisher, Ury and Patton, Getting to Yes (1991)</w:t>
      </w:r>
    </w:p>
    <w:p>
      <w:r>
        <w:t>The book’s contrast between soft, hard and principled negotiation named a confusion I had lived with. I described myself as “friendly”, and I assumed friendliness meant I was collaborative. Getting to Yes made me see that I was often a soft-mannered positional bargainer: polite in tone, hard on a single number. Principled negotiation separates the people from the problem, focuses on interests rather than positions, invents options for mutual gain and insists on objective criteria. The behaviour it changed is my second sentence in any negotiation. Previously it was a number. Now it is a “why” question about the other side’s interests. The book also changed how I treat the walk-away: the BATNA is a standard for judging a deal, not a stick for threatening the other side.</w:t>
      </w:r>
    </w:p>
    <w:p>
      <w:pPr>
        <w:pStyle w:val="Heading2"/>
      </w:pPr>
      <w:r>
        <w:t>Malhotra and Bazerman, Negotiation Genius (2007)</w:t>
      </w:r>
    </w:p>
    <w:p>
      <w:r>
        <w:t>This book gave me names for my own biases. The “mythical fixed pie” explained my price-only habit; escalation of commitment explained why I could both overpay after sunk effort and refuse a good deal after saying “final”. The investigative stance – assume there is a reason behind every demand and go and find it – is now my default reaction to a seller who says “absolute minimum”. The behavioural change is concrete: when I feel the urge to counter immediately, I treat that urge as a signal to ask one more question. I also noted briefly the related idea in Malhotra’s later Negotiating the Impossible (2016) that negotiating the process can unlock a substantive deadlock; it reinforced the Part 9 lesson that process is not a neutral container.</w:t>
      </w:r>
    </w:p>
    <w:p>
      <w:pPr>
        <w:keepNext/>
        <w:spacing w:before="120" w:after="60"/>
      </w:pPr>
      <w:r>
        <w:rPr>
          <w:b/>
          <w:color w:val="173B67"/>
          <w:sz w:val="20"/>
        </w:rPr>
        <w:t>Table 11. Book-to-behaviour table</w:t>
      </w:r>
    </w:p>
    <w:tbl>
      <w:tblPr>
        <w:tblStyle w:val="TableGrid"/>
        <w:tblW w:type="auto" w:w="0"/>
        <w:jc w:val="center"/>
        <w:tblLook w:firstColumn="1" w:firstRow="1" w:lastColumn="0" w:lastRow="0" w:noHBand="0" w:noVBand="1" w:val="04A0"/>
        <w:tblLayout w:type="fixed"/>
      </w:tblPr>
      <w:tblGrid>
        <w:gridCol w:w="1791"/>
        <w:gridCol w:w="1933"/>
        <w:gridCol w:w="1821"/>
        <w:gridCol w:w="2311"/>
        <w:gridCol w:w="1170"/>
      </w:tblGrid>
      <w:tr>
        <w:trPr>
          <w:cantSplit/>
          <w:tblHeader w:val="true"/>
        </w:trPr>
        <w:tc>
          <w:tcPr>
            <w:tcW w:type="dxa" w:w="1791"/>
            <w:shd w:val="clear" w:color="auto" w:fill="173B67"/>
          </w:tcPr>
          <w:p>
            <w:pPr>
              <w:spacing w:after="0" w:line="240" w:lineRule="auto"/>
            </w:pPr>
            <w:r>
              <w:rPr>
                <w:b/>
                <w:color w:val="FFFFFF"/>
                <w:sz w:val="18"/>
              </w:rPr>
              <w:t>Source</w:t>
            </w:r>
          </w:p>
        </w:tc>
        <w:tc>
          <w:tcPr>
            <w:tcW w:type="dxa" w:w="1934"/>
            <w:shd w:val="clear" w:color="auto" w:fill="173B67"/>
          </w:tcPr>
          <w:p>
            <w:pPr>
              <w:spacing w:after="0" w:line="240" w:lineRule="auto"/>
            </w:pPr>
            <w:r>
              <w:rPr>
                <w:b/>
                <w:color w:val="FFFFFF"/>
                <w:sz w:val="18"/>
              </w:rPr>
              <w:t>Idea I took</w:t>
            </w:r>
          </w:p>
        </w:tc>
        <w:tc>
          <w:tcPr>
            <w:tcW w:type="dxa" w:w="1822"/>
            <w:shd w:val="clear" w:color="auto" w:fill="173B67"/>
          </w:tcPr>
          <w:p>
            <w:pPr>
              <w:spacing w:after="0" w:line="240" w:lineRule="auto"/>
            </w:pPr>
            <w:r>
              <w:rPr>
                <w:b/>
                <w:color w:val="FFFFFF"/>
                <w:sz w:val="18"/>
              </w:rPr>
              <w:t>Behaviour before</w:t>
            </w:r>
          </w:p>
        </w:tc>
        <w:tc>
          <w:tcPr>
            <w:tcW w:type="dxa" w:w="2312"/>
            <w:shd w:val="clear" w:color="auto" w:fill="173B67"/>
          </w:tcPr>
          <w:p>
            <w:pPr>
              <w:spacing w:after="0" w:line="240" w:lineRule="auto"/>
            </w:pPr>
            <w:r>
              <w:rPr>
                <w:b/>
                <w:color w:val="FFFFFF"/>
                <w:sz w:val="18"/>
              </w:rPr>
              <w:t>Behaviour now</w:t>
            </w:r>
          </w:p>
        </w:tc>
        <w:tc>
          <w:tcPr>
            <w:tcW w:type="dxa" w:w="1170"/>
            <w:shd w:val="clear" w:color="auto" w:fill="173B67"/>
          </w:tcPr>
          <w:p>
            <w:pPr>
              <w:spacing w:after="0" w:line="240" w:lineRule="auto"/>
            </w:pPr>
            <w:r>
              <w:rPr>
                <w:b/>
                <w:color w:val="FFFFFF"/>
                <w:sz w:val="18"/>
              </w:rPr>
              <w:t>Where it shows in the lab</w:t>
            </w:r>
          </w:p>
        </w:tc>
      </w:tr>
      <w:tr>
        <w:trPr>
          <w:cantSplit/>
        </w:trPr>
        <w:tc>
          <w:tcPr>
            <w:tcW w:type="dxa" w:w="1791"/>
          </w:tcPr>
          <w:p>
            <w:pPr>
              <w:spacing w:after="0" w:line="240" w:lineRule="auto"/>
            </w:pPr>
            <w:r>
              <w:rPr>
                <w:sz w:val="18"/>
              </w:rPr>
              <w:t>Lempereur &amp; Colson (2010)</w:t>
            </w:r>
          </w:p>
        </w:tc>
        <w:tc>
          <w:tcPr>
            <w:tcW w:type="dxa" w:w="1934"/>
          </w:tcPr>
          <w:p>
            <w:pPr>
              <w:spacing w:after="0" w:line="240" w:lineRule="auto"/>
            </w:pPr>
            <w:r>
              <w:rPr>
                <w:sz w:val="18"/>
              </w:rPr>
              <w:t>Preparation and process are the first move</w:t>
            </w:r>
          </w:p>
        </w:tc>
        <w:tc>
          <w:tcPr>
            <w:tcW w:type="dxa" w:w="1822"/>
          </w:tcPr>
          <w:p>
            <w:pPr>
              <w:spacing w:after="0" w:line="240" w:lineRule="auto"/>
            </w:pPr>
            <w:r>
              <w:rPr>
                <w:sz w:val="18"/>
              </w:rPr>
              <w:t>First move = first number</w:t>
            </w:r>
          </w:p>
        </w:tc>
        <w:tc>
          <w:tcPr>
            <w:tcW w:type="dxa" w:w="2312"/>
          </w:tcPr>
          <w:p>
            <w:pPr>
              <w:spacing w:after="0" w:line="240" w:lineRule="auto"/>
            </w:pPr>
            <w:r>
              <w:rPr>
                <w:sz w:val="18"/>
              </w:rPr>
              <w:t>One-page P/S/P map; propose the sequence first</w:t>
            </w:r>
          </w:p>
        </w:tc>
        <w:tc>
          <w:tcPr>
            <w:tcW w:type="dxa" w:w="1170"/>
          </w:tcPr>
          <w:p>
            <w:pPr>
              <w:spacing w:after="0" w:line="240" w:lineRule="auto"/>
            </w:pPr>
            <w:r>
              <w:rPr>
                <w:sz w:val="18"/>
              </w:rPr>
              <w:t>Prep checklist; Step 5</w:t>
            </w:r>
          </w:p>
        </w:tc>
      </w:tr>
      <w:tr>
        <w:trPr>
          <w:cantSplit/>
        </w:trPr>
        <w:tc>
          <w:tcPr>
            <w:tcW w:type="dxa" w:w="1791"/>
            <w:shd w:val="clear" w:color="auto" w:fill="F3F6FA"/>
          </w:tcPr>
          <w:p>
            <w:pPr>
              <w:spacing w:after="0" w:line="240" w:lineRule="auto"/>
            </w:pPr>
            <w:r>
              <w:rPr>
                <w:sz w:val="18"/>
              </w:rPr>
              <w:t>Lempereur &amp; Colson (2010)</w:t>
            </w:r>
          </w:p>
        </w:tc>
        <w:tc>
          <w:tcPr>
            <w:tcW w:type="dxa" w:w="1934"/>
            <w:shd w:val="clear" w:color="auto" w:fill="F3F6FA"/>
          </w:tcPr>
          <w:p>
            <w:pPr>
              <w:spacing w:after="0" w:line="240" w:lineRule="auto"/>
            </w:pPr>
            <w:r>
              <w:rPr>
                <w:sz w:val="18"/>
              </w:rPr>
              <w:t>People-centred negotiation</w:t>
            </w:r>
          </w:p>
        </w:tc>
        <w:tc>
          <w:tcPr>
            <w:tcW w:type="dxa" w:w="1822"/>
            <w:shd w:val="clear" w:color="auto" w:fill="F3F6FA"/>
          </w:tcPr>
          <w:p>
            <w:pPr>
              <w:spacing w:after="0" w:line="240" w:lineRule="auto"/>
            </w:pPr>
            <w:r>
              <w:rPr>
                <w:sz w:val="18"/>
              </w:rPr>
              <w:t>Treat seller as a position</w:t>
            </w:r>
          </w:p>
        </w:tc>
        <w:tc>
          <w:tcPr>
            <w:tcW w:type="dxa" w:w="2312"/>
            <w:shd w:val="clear" w:color="auto" w:fill="F3F6FA"/>
          </w:tcPr>
          <w:p>
            <w:pPr>
              <w:spacing w:after="0" w:line="240" w:lineRule="auto"/>
            </w:pPr>
            <w:r>
              <w:rPr>
                <w:sz w:val="18"/>
              </w:rPr>
              <w:t>Map mandate, family, agent</w:t>
            </w:r>
          </w:p>
        </w:tc>
        <w:tc>
          <w:tcPr>
            <w:tcW w:type="dxa" w:w="1170"/>
            <w:shd w:val="clear" w:color="auto" w:fill="F3F6FA"/>
          </w:tcPr>
          <w:p>
            <w:pPr>
              <w:spacing w:after="0" w:line="240" w:lineRule="auto"/>
            </w:pPr>
            <w:r>
              <w:rPr>
                <w:sz w:val="18"/>
              </w:rPr>
              <w:t>Step 5 (spouse)</w:t>
            </w:r>
          </w:p>
        </w:tc>
      </w:tr>
      <w:tr>
        <w:trPr>
          <w:cantSplit/>
        </w:trPr>
        <w:tc>
          <w:tcPr>
            <w:tcW w:type="dxa" w:w="1791"/>
          </w:tcPr>
          <w:p>
            <w:pPr>
              <w:spacing w:after="0" w:line="240" w:lineRule="auto"/>
            </w:pPr>
            <w:r>
              <w:rPr>
                <w:sz w:val="18"/>
              </w:rPr>
              <w:t>Fisher, Ury &amp; Patton (1991)</w:t>
            </w:r>
          </w:p>
        </w:tc>
        <w:tc>
          <w:tcPr>
            <w:tcW w:type="dxa" w:w="1934"/>
          </w:tcPr>
          <w:p>
            <w:pPr>
              <w:spacing w:after="0" w:line="240" w:lineRule="auto"/>
            </w:pPr>
            <w:r>
              <w:rPr>
                <w:sz w:val="18"/>
              </w:rPr>
              <w:t>Interests, not positions</w:t>
            </w:r>
          </w:p>
        </w:tc>
        <w:tc>
          <w:tcPr>
            <w:tcW w:type="dxa" w:w="1822"/>
          </w:tcPr>
          <w:p>
            <w:pPr>
              <w:spacing w:after="0" w:line="240" w:lineRule="auto"/>
            </w:pPr>
            <w:r>
              <w:rPr>
                <w:sz w:val="18"/>
              </w:rPr>
              <w:t>Second sentence was a counter</w:t>
            </w:r>
          </w:p>
        </w:tc>
        <w:tc>
          <w:tcPr>
            <w:tcW w:type="dxa" w:w="2312"/>
          </w:tcPr>
          <w:p>
            <w:pPr>
              <w:spacing w:after="0" w:line="240" w:lineRule="auto"/>
            </w:pPr>
            <w:r>
              <w:rPr>
                <w:sz w:val="18"/>
              </w:rPr>
              <w:t>Second sentence is a “why” question</w:t>
            </w:r>
          </w:p>
        </w:tc>
        <w:tc>
          <w:tcPr>
            <w:tcW w:type="dxa" w:w="1170"/>
          </w:tcPr>
          <w:p>
            <w:pPr>
              <w:spacing w:after="0" w:line="240" w:lineRule="auto"/>
            </w:pPr>
            <w:r>
              <w:rPr>
                <w:sz w:val="18"/>
              </w:rPr>
              <w:t>Steps 1-2</w:t>
            </w:r>
          </w:p>
        </w:tc>
      </w:tr>
      <w:tr>
        <w:trPr>
          <w:cantSplit/>
        </w:trPr>
        <w:tc>
          <w:tcPr>
            <w:tcW w:type="dxa" w:w="1791"/>
            <w:shd w:val="clear" w:color="auto" w:fill="F3F6FA"/>
          </w:tcPr>
          <w:p>
            <w:pPr>
              <w:spacing w:after="0" w:line="240" w:lineRule="auto"/>
            </w:pPr>
            <w:r>
              <w:rPr>
                <w:sz w:val="18"/>
              </w:rPr>
              <w:t>Fisher, Ury &amp; Patton (1991)</w:t>
            </w:r>
          </w:p>
        </w:tc>
        <w:tc>
          <w:tcPr>
            <w:tcW w:type="dxa" w:w="1934"/>
            <w:shd w:val="clear" w:color="auto" w:fill="F3F6FA"/>
          </w:tcPr>
          <w:p>
            <w:pPr>
              <w:spacing w:after="0" w:line="240" w:lineRule="auto"/>
            </w:pPr>
            <w:r>
              <w:rPr>
                <w:sz w:val="18"/>
              </w:rPr>
              <w:t>Objective criteria as joint search</w:t>
            </w:r>
          </w:p>
        </w:tc>
        <w:tc>
          <w:tcPr>
            <w:tcW w:type="dxa" w:w="1822"/>
            <w:shd w:val="clear" w:color="auto" w:fill="F3F6FA"/>
          </w:tcPr>
          <w:p>
            <w:pPr>
              <w:spacing w:after="0" w:line="240" w:lineRule="auto"/>
            </w:pPr>
            <w:r>
              <w:rPr>
                <w:sz w:val="18"/>
              </w:rPr>
              <w:t>Comparables as ammunition</w:t>
            </w:r>
          </w:p>
        </w:tc>
        <w:tc>
          <w:tcPr>
            <w:tcW w:type="dxa" w:w="2312"/>
            <w:shd w:val="clear" w:color="auto" w:fill="F3F6FA"/>
          </w:tcPr>
          <w:p>
            <w:pPr>
              <w:spacing w:after="0" w:line="240" w:lineRule="auto"/>
            </w:pPr>
            <w:r>
              <w:rPr>
                <w:sz w:val="18"/>
              </w:rPr>
              <w:t>Agree which standard we both accept</w:t>
            </w:r>
          </w:p>
        </w:tc>
        <w:tc>
          <w:tcPr>
            <w:tcW w:type="dxa" w:w="1170"/>
            <w:shd w:val="clear" w:color="auto" w:fill="F3F6FA"/>
          </w:tcPr>
          <w:p>
            <w:pPr>
              <w:spacing w:after="0" w:line="240" w:lineRule="auto"/>
            </w:pPr>
            <w:r>
              <w:rPr>
                <w:sz w:val="18"/>
              </w:rPr>
              <w:t>Step 4</w:t>
            </w:r>
          </w:p>
        </w:tc>
      </w:tr>
      <w:tr>
        <w:trPr>
          <w:cantSplit/>
        </w:trPr>
        <w:tc>
          <w:tcPr>
            <w:tcW w:type="dxa" w:w="1791"/>
          </w:tcPr>
          <w:p>
            <w:pPr>
              <w:spacing w:after="0" w:line="240" w:lineRule="auto"/>
            </w:pPr>
            <w:r>
              <w:rPr>
                <w:sz w:val="18"/>
              </w:rPr>
              <w:t>Fisher, Ury &amp; Patton (1991)</w:t>
            </w:r>
          </w:p>
        </w:tc>
        <w:tc>
          <w:tcPr>
            <w:tcW w:type="dxa" w:w="1934"/>
          </w:tcPr>
          <w:p>
            <w:pPr>
              <w:spacing w:after="0" w:line="240" w:lineRule="auto"/>
            </w:pPr>
            <w:r>
              <w:rPr>
                <w:sz w:val="18"/>
              </w:rPr>
              <w:t>BATNA as standard, not threat</w:t>
            </w:r>
          </w:p>
        </w:tc>
        <w:tc>
          <w:tcPr>
            <w:tcW w:type="dxa" w:w="1822"/>
          </w:tcPr>
          <w:p>
            <w:pPr>
              <w:spacing w:after="0" w:line="240" w:lineRule="auto"/>
            </w:pPr>
            <w:r>
              <w:rPr>
                <w:sz w:val="18"/>
              </w:rPr>
              <w:t>“I’ll find another deal”</w:t>
            </w:r>
          </w:p>
        </w:tc>
        <w:tc>
          <w:tcPr>
            <w:tcW w:type="dxa" w:w="2312"/>
          </w:tcPr>
          <w:p>
            <w:pPr>
              <w:spacing w:after="0" w:line="240" w:lineRule="auto"/>
            </w:pPr>
            <w:r>
              <w:rPr>
                <w:sz w:val="18"/>
              </w:rPr>
              <w:t>Value the alternative; keep it private</w:t>
            </w:r>
          </w:p>
        </w:tc>
        <w:tc>
          <w:tcPr>
            <w:tcW w:type="dxa" w:w="1170"/>
          </w:tcPr>
          <w:p>
            <w:pPr>
              <w:spacing w:after="0" w:line="240" w:lineRule="auto"/>
            </w:pPr>
            <w:r>
              <w:rPr>
                <w:sz w:val="18"/>
              </w:rPr>
              <w:t>Steps 1 and 6</w:t>
            </w:r>
          </w:p>
        </w:tc>
      </w:tr>
      <w:tr>
        <w:trPr>
          <w:cantSplit/>
        </w:trPr>
        <w:tc>
          <w:tcPr>
            <w:tcW w:type="dxa" w:w="1791"/>
            <w:shd w:val="clear" w:color="auto" w:fill="F3F6FA"/>
          </w:tcPr>
          <w:p>
            <w:pPr>
              <w:spacing w:after="0" w:line="240" w:lineRule="auto"/>
            </w:pPr>
            <w:r>
              <w:rPr>
                <w:sz w:val="18"/>
              </w:rPr>
              <w:t>Malhotra &amp; Bazerman (2007)</w:t>
            </w:r>
          </w:p>
        </w:tc>
        <w:tc>
          <w:tcPr>
            <w:tcW w:type="dxa" w:w="1934"/>
            <w:shd w:val="clear" w:color="auto" w:fill="F3F6FA"/>
          </w:tcPr>
          <w:p>
            <w:pPr>
              <w:spacing w:after="0" w:line="240" w:lineRule="auto"/>
            </w:pPr>
            <w:r>
              <w:rPr>
                <w:sz w:val="18"/>
              </w:rPr>
              <w:t>Mythical fixed pie</w:t>
            </w:r>
          </w:p>
        </w:tc>
        <w:tc>
          <w:tcPr>
            <w:tcW w:type="dxa" w:w="1822"/>
            <w:shd w:val="clear" w:color="auto" w:fill="F3F6FA"/>
          </w:tcPr>
          <w:p>
            <w:pPr>
              <w:spacing w:after="0" w:line="240" w:lineRule="auto"/>
            </w:pPr>
            <w:r>
              <w:rPr>
                <w:sz w:val="18"/>
              </w:rPr>
              <w:t>Price-only bargaining</w:t>
            </w:r>
          </w:p>
        </w:tc>
        <w:tc>
          <w:tcPr>
            <w:tcW w:type="dxa" w:w="2312"/>
            <w:shd w:val="clear" w:color="auto" w:fill="F3F6FA"/>
          </w:tcPr>
          <w:p>
            <w:pPr>
              <w:spacing w:after="0" w:line="240" w:lineRule="auto"/>
            </w:pPr>
            <w:r>
              <w:rPr>
                <w:sz w:val="18"/>
              </w:rPr>
              <w:t>Look for differences in priority</w:t>
            </w:r>
          </w:p>
        </w:tc>
        <w:tc>
          <w:tcPr>
            <w:tcW w:type="dxa" w:w="1170"/>
            <w:shd w:val="clear" w:color="auto" w:fill="F3F6FA"/>
          </w:tcPr>
          <w:p>
            <w:pPr>
              <w:spacing w:after="0" w:line="240" w:lineRule="auto"/>
            </w:pPr>
            <w:r>
              <w:rPr>
                <w:sz w:val="18"/>
              </w:rPr>
              <w:t>Step 3</w:t>
            </w:r>
          </w:p>
        </w:tc>
      </w:tr>
      <w:tr>
        <w:trPr>
          <w:cantSplit/>
        </w:trPr>
        <w:tc>
          <w:tcPr>
            <w:tcW w:type="dxa" w:w="1791"/>
          </w:tcPr>
          <w:p>
            <w:pPr>
              <w:spacing w:after="0" w:line="240" w:lineRule="auto"/>
            </w:pPr>
            <w:r>
              <w:rPr>
                <w:sz w:val="18"/>
              </w:rPr>
              <w:t>Malhotra &amp; Bazerman (2007)</w:t>
            </w:r>
          </w:p>
        </w:tc>
        <w:tc>
          <w:tcPr>
            <w:tcW w:type="dxa" w:w="1934"/>
          </w:tcPr>
          <w:p>
            <w:pPr>
              <w:spacing w:after="0" w:line="240" w:lineRule="auto"/>
            </w:pPr>
            <w:r>
              <w:rPr>
                <w:sz w:val="18"/>
              </w:rPr>
              <w:t>Escalation of commitment</w:t>
            </w:r>
          </w:p>
        </w:tc>
        <w:tc>
          <w:tcPr>
            <w:tcW w:type="dxa" w:w="1822"/>
          </w:tcPr>
          <w:p>
            <w:pPr>
              <w:spacing w:after="0" w:line="240" w:lineRule="auto"/>
            </w:pPr>
            <w:r>
              <w:rPr>
                <w:sz w:val="18"/>
              </w:rPr>
              <w:t>Sunk effort drove decisions</w:t>
            </w:r>
          </w:p>
        </w:tc>
        <w:tc>
          <w:tcPr>
            <w:tcW w:type="dxa" w:w="2312"/>
          </w:tcPr>
          <w:p>
            <w:pPr>
              <w:spacing w:after="0" w:line="240" w:lineRule="auto"/>
            </w:pPr>
            <w:r>
              <w:rPr>
                <w:sz w:val="18"/>
              </w:rPr>
              <w:t>Re-anchor on BATNA before each move</w:t>
            </w:r>
          </w:p>
        </w:tc>
        <w:tc>
          <w:tcPr>
            <w:tcW w:type="dxa" w:w="1170"/>
          </w:tcPr>
          <w:p>
            <w:pPr>
              <w:spacing w:after="0" w:line="240" w:lineRule="auto"/>
            </w:pPr>
            <w:r>
              <w:rPr>
                <w:sz w:val="18"/>
              </w:rPr>
              <w:t>Step 6, Part 12</w:t>
            </w:r>
          </w:p>
        </w:tc>
      </w:tr>
    </w:tbl>
    <w:p>
      <w:pPr>
        <w:spacing w:after="0" w:line="144" w:lineRule="auto"/>
      </w:pPr>
      <w:r>
        <w:rPr>
          <w:sz w:val="8"/>
        </w:rPr>
        <w:t xml:space="preserve"> </w:t>
      </w:r>
    </w:p>
    <w:p>
      <w:pPr>
        <w:pStyle w:val="Heading1"/>
      </w:pPr>
      <w:r>
        <w:t>Part 15 – What I Got Wrong: Changes in My Thinking</w:t>
      </w:r>
    </w:p>
    <w:p>
      <w:r>
        <w:t>A useful learning journal should record not only concepts I agree with but also where my original instincts were incomplete. This Part is the most important one for me, because it is where learning becomes evidence rather than description.</w:t>
      </w:r>
    </w:p>
    <w:p>
      <w:pPr>
        <w:keepNext/>
        <w:spacing w:before="120" w:after="60"/>
      </w:pPr>
      <w:r>
        <w:rPr>
          <w:b/>
          <w:color w:val="173B67"/>
          <w:sz w:val="20"/>
        </w:rPr>
        <w:t>Table 12. Before/after belief table</w:t>
      </w:r>
    </w:p>
    <w:tbl>
      <w:tblPr>
        <w:tblStyle w:val="TableGrid"/>
        <w:tblW w:type="auto" w:w="0"/>
        <w:jc w:val="center"/>
        <w:tblLook w:firstColumn="1" w:firstRow="1" w:lastColumn="0" w:lastRow="0" w:noHBand="0" w:noVBand="1" w:val="04A0"/>
        <w:tblLayout w:type="fixed"/>
      </w:tblPr>
      <w:tblGrid>
        <w:gridCol w:w="2620"/>
        <w:gridCol w:w="3484"/>
        <w:gridCol w:w="2923"/>
      </w:tblGrid>
      <w:tr>
        <w:trPr>
          <w:cantSplit/>
          <w:tblHeader w:val="true"/>
        </w:trPr>
        <w:tc>
          <w:tcPr>
            <w:tcW w:type="dxa" w:w="2620"/>
            <w:shd w:val="clear" w:color="auto" w:fill="173B67"/>
          </w:tcPr>
          <w:p>
            <w:pPr>
              <w:spacing w:after="0" w:line="240" w:lineRule="auto"/>
            </w:pPr>
            <w:r>
              <w:rPr>
                <w:b/>
                <w:color w:val="FFFFFF"/>
                <w:sz w:val="18"/>
              </w:rPr>
              <w:t>Old belief / habit</w:t>
            </w:r>
          </w:p>
        </w:tc>
        <w:tc>
          <w:tcPr>
            <w:tcW w:type="dxa" w:w="3484"/>
            <w:shd w:val="clear" w:color="auto" w:fill="173B67"/>
          </w:tcPr>
          <w:p>
            <w:pPr>
              <w:spacing w:after="0" w:line="240" w:lineRule="auto"/>
            </w:pPr>
            <w:r>
              <w:rPr>
                <w:b/>
                <w:color w:val="FFFFFF"/>
                <w:sz w:val="18"/>
              </w:rPr>
              <w:t>What I now think</w:t>
            </w:r>
          </w:p>
        </w:tc>
        <w:tc>
          <w:tcPr>
            <w:tcW w:type="dxa" w:w="2924"/>
            <w:shd w:val="clear" w:color="auto" w:fill="173B67"/>
          </w:tcPr>
          <w:p>
            <w:pPr>
              <w:spacing w:after="0" w:line="240" w:lineRule="auto"/>
            </w:pPr>
            <w:r>
              <w:rPr>
                <w:b/>
                <w:color w:val="FFFFFF"/>
                <w:sz w:val="18"/>
              </w:rPr>
              <w:t>What changed my mind</w:t>
            </w:r>
          </w:p>
        </w:tc>
      </w:tr>
      <w:tr>
        <w:trPr>
          <w:cantSplit/>
        </w:trPr>
        <w:tc>
          <w:tcPr>
            <w:tcW w:type="dxa" w:w="2620"/>
          </w:tcPr>
          <w:p>
            <w:pPr>
              <w:spacing w:after="0" w:line="240" w:lineRule="auto"/>
            </w:pPr>
            <w:r>
              <w:rPr>
                <w:sz w:val="18"/>
              </w:rPr>
              <w:t>A large discount means a good negotiation</w:t>
            </w:r>
          </w:p>
        </w:tc>
        <w:tc>
          <w:tcPr>
            <w:tcW w:type="dxa" w:w="3484"/>
          </w:tcPr>
          <w:p>
            <w:pPr>
              <w:spacing w:after="0" w:line="240" w:lineRule="auto"/>
            </w:pPr>
            <w:r>
              <w:rPr>
                <w:sz w:val="18"/>
              </w:rPr>
              <w:t>Compare total value against objectives and BATNA, not asking price</w:t>
            </w:r>
          </w:p>
        </w:tc>
        <w:tc>
          <w:tcPr>
            <w:tcW w:type="dxa" w:w="2924"/>
          </w:tcPr>
          <w:p>
            <w:pPr>
              <w:spacing w:after="0" w:line="240" w:lineRule="auto"/>
            </w:pPr>
            <w:r>
              <w:rPr>
                <w:sz w:val="18"/>
              </w:rPr>
              <w:t>Week 3; Getting to Yes on BATNA; Part 10 reflection</w:t>
            </w:r>
          </w:p>
        </w:tc>
      </w:tr>
      <w:tr>
        <w:trPr>
          <w:cantSplit/>
        </w:trPr>
        <w:tc>
          <w:tcPr>
            <w:tcW w:type="dxa" w:w="2620"/>
            <w:shd w:val="clear" w:color="auto" w:fill="F3F6FA"/>
          </w:tcPr>
          <w:p>
            <w:pPr>
              <w:spacing w:after="0" w:line="240" w:lineRule="auto"/>
            </w:pPr>
            <w:r>
              <w:rPr>
                <w:sz w:val="18"/>
              </w:rPr>
              <w:t>Seller rejects my offer, so the deal may be impossible</w:t>
            </w:r>
          </w:p>
        </w:tc>
        <w:tc>
          <w:tcPr>
            <w:tcW w:type="dxa" w:w="3484"/>
            <w:shd w:val="clear" w:color="auto" w:fill="F3F6FA"/>
          </w:tcPr>
          <w:p>
            <w:pPr>
              <w:spacing w:after="0" w:line="240" w:lineRule="auto"/>
            </w:pPr>
            <w:r>
              <w:rPr>
                <w:sz w:val="18"/>
              </w:rPr>
              <w:t>Rejection is data; diagnose motivations and variables</w:t>
            </w:r>
          </w:p>
        </w:tc>
        <w:tc>
          <w:tcPr>
            <w:tcW w:type="dxa" w:w="2924"/>
            <w:shd w:val="clear" w:color="auto" w:fill="F3F6FA"/>
          </w:tcPr>
          <w:p>
            <w:pPr>
              <w:spacing w:after="0" w:line="240" w:lineRule="auto"/>
            </w:pPr>
            <w:r>
              <w:rPr>
                <w:sz w:val="18"/>
              </w:rPr>
              <w:t>Ladder of Inference (Week 1); the Part 2 vignette</w:t>
            </w:r>
          </w:p>
        </w:tc>
      </w:tr>
      <w:tr>
        <w:trPr>
          <w:cantSplit/>
        </w:trPr>
        <w:tc>
          <w:tcPr>
            <w:tcW w:type="dxa" w:w="2620"/>
          </w:tcPr>
          <w:p>
            <w:pPr>
              <w:spacing w:after="0" w:line="240" w:lineRule="auto"/>
            </w:pPr>
            <w:r>
              <w:rPr>
                <w:sz w:val="18"/>
              </w:rPr>
              <w:t>Preparation means price and arguments</w:t>
            </w:r>
          </w:p>
        </w:tc>
        <w:tc>
          <w:tcPr>
            <w:tcW w:type="dxa" w:w="3484"/>
          </w:tcPr>
          <w:p>
            <w:pPr>
              <w:spacing w:after="0" w:line="240" w:lineRule="auto"/>
            </w:pPr>
            <w:r>
              <w:rPr>
                <w:sz w:val="18"/>
              </w:rPr>
              <w:t>Preparation includes People, Substance and Process</w:t>
            </w:r>
          </w:p>
        </w:tc>
        <w:tc>
          <w:tcPr>
            <w:tcW w:type="dxa" w:w="2924"/>
          </w:tcPr>
          <w:p>
            <w:pPr>
              <w:spacing w:after="0" w:line="240" w:lineRule="auto"/>
            </w:pPr>
            <w:r>
              <w:rPr>
                <w:sz w:val="18"/>
              </w:rPr>
              <w:t>Powerscreen and the 10 Trumps; The First Move</w:t>
            </w:r>
          </w:p>
        </w:tc>
      </w:tr>
      <w:tr>
        <w:trPr>
          <w:cantSplit/>
        </w:trPr>
        <w:tc>
          <w:tcPr>
            <w:tcW w:type="dxa" w:w="2620"/>
            <w:shd w:val="clear" w:color="auto" w:fill="F3F6FA"/>
          </w:tcPr>
          <w:p>
            <w:pPr>
              <w:spacing w:after="0" w:line="240" w:lineRule="auto"/>
            </w:pPr>
            <w:r>
              <w:rPr>
                <w:sz w:val="18"/>
              </w:rPr>
              <w:t>Listening means hearing before responding</w:t>
            </w:r>
          </w:p>
        </w:tc>
        <w:tc>
          <w:tcPr>
            <w:tcW w:type="dxa" w:w="3484"/>
            <w:shd w:val="clear" w:color="auto" w:fill="F3F6FA"/>
          </w:tcPr>
          <w:p>
            <w:pPr>
              <w:spacing w:after="0" w:line="240" w:lineRule="auto"/>
            </w:pPr>
            <w:r>
              <w:rPr>
                <w:sz w:val="18"/>
              </w:rPr>
              <w:t>Active listening requires restating, checking, clarifying and probing</w:t>
            </w:r>
          </w:p>
        </w:tc>
        <w:tc>
          <w:tcPr>
            <w:tcW w:type="dxa" w:w="2924"/>
            <w:shd w:val="clear" w:color="auto" w:fill="F3F6FA"/>
          </w:tcPr>
          <w:p>
            <w:pPr>
              <w:spacing w:after="0" w:line="240" w:lineRule="auto"/>
            </w:pPr>
            <w:r>
              <w:rPr>
                <w:sz w:val="18"/>
              </w:rPr>
              <w:t>Week 5 Active Communication; annotated dialogue</w:t>
            </w:r>
          </w:p>
        </w:tc>
      </w:tr>
      <w:tr>
        <w:trPr>
          <w:cantSplit/>
        </w:trPr>
        <w:tc>
          <w:tcPr>
            <w:tcW w:type="dxa" w:w="2620"/>
          </w:tcPr>
          <w:p>
            <w:pPr>
              <w:spacing w:after="0" w:line="240" w:lineRule="auto"/>
            </w:pPr>
            <w:r>
              <w:rPr>
                <w:sz w:val="18"/>
              </w:rPr>
              <w:t>Power should be shown through firmness or threats</w:t>
            </w:r>
          </w:p>
        </w:tc>
        <w:tc>
          <w:tcPr>
            <w:tcW w:type="dxa" w:w="3484"/>
          </w:tcPr>
          <w:p>
            <w:pPr>
              <w:spacing w:after="0" w:line="240" w:lineRule="auto"/>
            </w:pPr>
            <w:r>
              <w:rPr>
                <w:sz w:val="18"/>
              </w:rPr>
              <w:t>Power can come from alternatives, information, credibility and process</w:t>
            </w:r>
          </w:p>
        </w:tc>
        <w:tc>
          <w:tcPr>
            <w:tcW w:type="dxa" w:w="2924"/>
          </w:tcPr>
          <w:p>
            <w:pPr>
              <w:spacing w:after="0" w:line="240" w:lineRule="auto"/>
            </w:pPr>
            <w:r>
              <w:rPr>
                <w:sz w:val="18"/>
              </w:rPr>
              <w:t>Cuban Missile Crisis; Week 3</w:t>
            </w:r>
          </w:p>
        </w:tc>
      </w:tr>
      <w:tr>
        <w:trPr>
          <w:cantSplit/>
        </w:trPr>
        <w:tc>
          <w:tcPr>
            <w:tcW w:type="dxa" w:w="2620"/>
            <w:shd w:val="clear" w:color="auto" w:fill="F3F6FA"/>
          </w:tcPr>
          <w:p>
            <w:pPr>
              <w:spacing w:after="0" w:line="240" w:lineRule="auto"/>
            </w:pPr>
            <w:r>
              <w:rPr>
                <w:sz w:val="18"/>
              </w:rPr>
              <w:t>Friendly communication means collaborative negotiation</w:t>
            </w:r>
          </w:p>
        </w:tc>
        <w:tc>
          <w:tcPr>
            <w:tcW w:type="dxa" w:w="3484"/>
            <w:shd w:val="clear" w:color="auto" w:fill="F3F6FA"/>
          </w:tcPr>
          <w:p>
            <w:pPr>
              <w:spacing w:after="0" w:line="240" w:lineRule="auto"/>
            </w:pPr>
            <w:r>
              <w:rPr>
                <w:sz w:val="18"/>
              </w:rPr>
              <w:t>I can be friendly while still conducting a one-variable positional bargain</w:t>
            </w:r>
          </w:p>
        </w:tc>
        <w:tc>
          <w:tcPr>
            <w:tcW w:type="dxa" w:w="2924"/>
            <w:shd w:val="clear" w:color="auto" w:fill="F3F6FA"/>
          </w:tcPr>
          <w:p>
            <w:pPr>
              <w:spacing w:after="0" w:line="240" w:lineRule="auto"/>
            </w:pPr>
            <w:r>
              <w:rPr>
                <w:sz w:val="18"/>
              </w:rPr>
              <w:t>Getting to Yes on soft vs hard vs principled</w:t>
            </w:r>
          </w:p>
        </w:tc>
      </w:tr>
      <w:tr>
        <w:trPr>
          <w:cantSplit/>
        </w:trPr>
        <w:tc>
          <w:tcPr>
            <w:tcW w:type="dxa" w:w="2620"/>
          </w:tcPr>
          <w:p>
            <w:pPr>
              <w:spacing w:after="0" w:line="240" w:lineRule="auto"/>
            </w:pPr>
            <w:r>
              <w:rPr>
                <w:sz w:val="18"/>
              </w:rPr>
              <w:t>A big concession shows goodwill</w:t>
            </w:r>
          </w:p>
        </w:tc>
        <w:tc>
          <w:tcPr>
            <w:tcW w:type="dxa" w:w="3484"/>
          </w:tcPr>
          <w:p>
            <w:pPr>
              <w:spacing w:after="0" w:line="240" w:lineRule="auto"/>
            </w:pPr>
            <w:r>
              <w:rPr>
                <w:sz w:val="18"/>
              </w:rPr>
              <w:t>A big concession mainly shows room</w:t>
            </w:r>
          </w:p>
        </w:tc>
        <w:tc>
          <w:tcPr>
            <w:tcW w:type="dxa" w:w="2924"/>
          </w:tcPr>
          <w:p>
            <w:pPr>
              <w:spacing w:after="0" w:line="240" w:lineRule="auto"/>
            </w:pPr>
            <w:r>
              <w:rPr>
                <w:sz w:val="18"/>
              </w:rPr>
              <w:t>Week 3 on shrinking concessions; Part 11 audit</w:t>
            </w:r>
          </w:p>
        </w:tc>
      </w:tr>
      <w:tr>
        <w:trPr>
          <w:cantSplit/>
        </w:trPr>
        <w:tc>
          <w:tcPr>
            <w:tcW w:type="dxa" w:w="2620"/>
            <w:shd w:val="clear" w:color="auto" w:fill="F3F6FA"/>
          </w:tcPr>
          <w:p>
            <w:pPr>
              <w:spacing w:after="0" w:line="240" w:lineRule="auto"/>
            </w:pPr>
            <w:r>
              <w:rPr>
                <w:sz w:val="18"/>
              </w:rPr>
              <w:t>“Final offer” is a closing tool</w:t>
            </w:r>
          </w:p>
        </w:tc>
        <w:tc>
          <w:tcPr>
            <w:tcW w:type="dxa" w:w="3484"/>
            <w:shd w:val="clear" w:color="auto" w:fill="F3F6FA"/>
          </w:tcPr>
          <w:p>
            <w:pPr>
              <w:spacing w:after="0" w:line="240" w:lineRule="auto"/>
            </w:pPr>
            <w:r>
              <w:rPr>
                <w:sz w:val="18"/>
              </w:rPr>
              <w:t>“Final” is a commitment that spends credibility</w:t>
            </w:r>
          </w:p>
        </w:tc>
        <w:tc>
          <w:tcPr>
            <w:tcW w:type="dxa" w:w="2924"/>
            <w:shd w:val="clear" w:color="auto" w:fill="F3F6FA"/>
          </w:tcPr>
          <w:p>
            <w:pPr>
              <w:spacing w:after="0" w:line="240" w:lineRule="auto"/>
            </w:pPr>
            <w:r>
              <w:rPr>
                <w:sz w:val="18"/>
              </w:rPr>
              <w:t>Cuban Missile Crisis; escalation of commitment</w:t>
            </w:r>
          </w:p>
        </w:tc>
      </w:tr>
      <w:tr>
        <w:trPr>
          <w:cantSplit/>
        </w:trPr>
        <w:tc>
          <w:tcPr>
            <w:tcW w:type="dxa" w:w="2620"/>
          </w:tcPr>
          <w:p>
            <w:pPr>
              <w:spacing w:after="0" w:line="240" w:lineRule="auto"/>
            </w:pPr>
            <w:r>
              <w:rPr>
                <w:sz w:val="18"/>
              </w:rPr>
              <w:t>Process is logistics</w:t>
            </w:r>
          </w:p>
        </w:tc>
        <w:tc>
          <w:tcPr>
            <w:tcW w:type="dxa" w:w="3484"/>
          </w:tcPr>
          <w:p>
            <w:pPr>
              <w:spacing w:after="0" w:line="240" w:lineRule="auto"/>
            </w:pPr>
            <w:r>
              <w:rPr>
                <w:sz w:val="18"/>
              </w:rPr>
              <w:t>Process shapes outcomes and confers legitimacy</w:t>
            </w:r>
          </w:p>
        </w:tc>
        <w:tc>
          <w:tcPr>
            <w:tcW w:type="dxa" w:w="2924"/>
          </w:tcPr>
          <w:p>
            <w:pPr>
              <w:spacing w:after="0" w:line="240" w:lineRule="auto"/>
            </w:pPr>
            <w:r>
              <w:rPr>
                <w:sz w:val="18"/>
              </w:rPr>
              <w:t>Chestnut Village; Convention on the Future of Europe</w:t>
            </w:r>
          </w:p>
        </w:tc>
      </w:tr>
      <w:tr>
        <w:trPr>
          <w:cantSplit/>
        </w:trPr>
        <w:tc>
          <w:tcPr>
            <w:tcW w:type="dxa" w:w="2620"/>
            <w:shd w:val="clear" w:color="auto" w:fill="F3F6FA"/>
          </w:tcPr>
          <w:p>
            <w:pPr>
              <w:spacing w:after="0" w:line="240" w:lineRule="auto"/>
            </w:pPr>
            <w:r>
              <w:rPr>
                <w:sz w:val="18"/>
              </w:rPr>
              <w:t>Culture explains behaviour</w:t>
            </w:r>
          </w:p>
        </w:tc>
        <w:tc>
          <w:tcPr>
            <w:tcW w:type="dxa" w:w="3484"/>
            <w:shd w:val="clear" w:color="auto" w:fill="F3F6FA"/>
          </w:tcPr>
          <w:p>
            <w:pPr>
              <w:spacing w:after="0" w:line="240" w:lineRule="auto"/>
            </w:pPr>
            <w:r>
              <w:rPr>
                <w:sz w:val="18"/>
              </w:rPr>
              <w:t>Culture guides questions; individuals answer them</w:t>
            </w:r>
          </w:p>
        </w:tc>
        <w:tc>
          <w:tcPr>
            <w:tcW w:type="dxa" w:w="2924"/>
            <w:shd w:val="clear" w:color="auto" w:fill="F3F6FA"/>
          </w:tcPr>
          <w:p>
            <w:pPr>
              <w:spacing w:after="0" w:line="240" w:lineRule="auto"/>
            </w:pPr>
            <w:r>
              <w:rPr>
                <w:sz w:val="18"/>
              </w:rPr>
              <w:t>Barnga, Alpha-Beta, China session</w:t>
            </w:r>
          </w:p>
        </w:tc>
      </w:tr>
    </w:tbl>
    <w:p>
      <w:pPr>
        <w:spacing w:after="0" w:line="144" w:lineRule="auto"/>
      </w:pPr>
      <w:r>
        <w:rPr>
          <w:sz w:val="8"/>
        </w:rPr>
        <w:t xml:space="preserve"> </w:t>
      </w:r>
    </w:p>
    <w:p>
      <w:pPr>
        <w:pStyle w:val="Heading2"/>
      </w:pPr>
      <w:r>
        <w:t>The deeper error: I optimised the visible variable</w:t>
      </w:r>
    </w:p>
    <w:p>
      <w:r>
        <w:t>Looking across the table, my errors share a root. I optimised what was most visible and measurable – the price, the discount, the speed of closing – and neglected what was less visible: interests, alternatives, stakeholders and credibility. This is understandable, because visible variables give quick feedback. But it means my old idea of “being a good negotiator” was really “being good at one part of negotiation”. The most important correction is my definition of success. A S$200,000 discount can still be a poor deal. A small discount can be excellent if the property is already attractively priced and the total package dominates my BATNA.</w:t>
      </w:r>
    </w:p>
    <w:p>
      <w:pPr>
        <w:pStyle w:val="Heading2"/>
      </w:pPr>
      <w:r>
        <w:t>Where I am still unsure</w:t>
      </w:r>
    </w:p>
    <w:p>
      <w:r>
        <w:t xml:space="preserve">I do not want this Part to read as a conversion story in which every old instinct was wrong and every course concept is right. Three tensions remain. First, </w:t>
      </w:r>
      <w:r>
        <w:rPr>
          <w:b/>
        </w:rPr>
        <w:t>diagnosis has a cost</w:t>
      </w:r>
      <w:r>
        <w:t xml:space="preserve">. In a fast-moving market, a seller with several interested buyers may not wait while I ask thoughtful questions; sometimes a strong, early, well-supported offer is the best move. Prepared adaptability must include knowing when to stop diagnosing. Second, </w:t>
      </w:r>
      <w:r>
        <w:rPr>
          <w:b/>
        </w:rPr>
        <w:t>integrative tools can be used against me</w:t>
      </w:r>
      <w:r>
        <w:t xml:space="preserve">. A counterpart who has read the same books can “expand variables” to hide a weak price, or loop my words back to build false rapport. My protection is to keep evaluating the total package against my BATNA, however pleasant the process feels. Third, </w:t>
      </w:r>
      <w:r>
        <w:rPr>
          <w:b/>
        </w:rPr>
        <w:t>my lab simplifies</w:t>
      </w:r>
      <w:r>
        <w:t>. It rewards the moves I believe are stronger, which risks teaching my own biases back to me. I address that in Part 17.</w:t>
      </w:r>
    </w:p>
    <w:p>
      <w:pPr>
        <w:pStyle w:val="Heading2"/>
      </w:pPr>
      <w:r>
        <w:t>What I have actually changed</w:t>
      </w:r>
    </w:p>
    <w:p>
      <w:r>
        <w:t>I also learned that asking questions is not a sign of weakness. Good questions are part of preparation because they test assumptions, reveal constraints and prevent me from paying for something the other side may not value highly. The measurable changes I can honestly claim are behavioural: I write a preparation map before serious property conversations; my second sentence is a question, not a counter; I attach a condition to every concession I imagine making; and I have stopped using the word “final” as a closing device. These are small, but they are the changes that matter.</w:t>
      </w:r>
    </w:p>
    <w:p>
      <w:pPr>
        <w:pBdr>
          <w:left w:val="single" w:sz="24" w:space="6" w:color="A86E17"/>
        </w:pBdr>
        <w:shd w:val="clear" w:color="auto" w:fill="FFF7E7"/>
        <w:spacing w:before="80" w:after="160"/>
      </w:pPr>
      <w:r>
        <w:rPr>
          <w:b/>
          <w:color w:val="A86E17"/>
        </w:rPr>
        <w:t>My Rule #15:</w:t>
      </w:r>
      <w:r>
        <w:rPr>
          <w:b/>
        </w:rPr>
        <w:t xml:space="preserve"> Measure learning by changed behaviour, not by how many negotiation terms I can define.</w:t>
      </w:r>
    </w:p>
    <w:p>
      <w:pPr>
        <w:pStyle w:val="Heading1"/>
      </w:pPr>
      <w:r>
        <w:t>Part 16 – My Personal Negotiation Playbook</w:t>
      </w:r>
    </w:p>
    <w:p>
      <w:r>
        <w:t>The following playbook is the practical output I want to carry beyond the module.</w:t>
      </w:r>
    </w:p>
    <w:p>
      <w:pPr>
        <w:pStyle w:val="Heading2"/>
      </w:pPr>
      <w:r>
        <w:t>Before the Negotiation</w:t>
      </w:r>
    </w:p>
    <w:p>
      <w:pPr>
        <w:keepNext/>
        <w:spacing w:before="120" w:after="60"/>
      </w:pPr>
      <w:r>
        <w:rPr>
          <w:b/>
          <w:color w:val="173B67"/>
          <w:sz w:val="20"/>
        </w:rPr>
        <w:t>Table 13. Before the negotiation – preparation questions</w:t>
      </w:r>
    </w:p>
    <w:tbl>
      <w:tblPr>
        <w:tblStyle w:val="TableGrid"/>
        <w:tblW w:type="auto" w:w="0"/>
        <w:jc w:val="center"/>
        <w:tblLook w:firstColumn="1" w:firstRow="1" w:lastColumn="0" w:lastRow="0" w:noHBand="0" w:noVBand="1" w:val="04A0"/>
        <w:tblLayout w:type="fixed"/>
      </w:tblPr>
      <w:tblGrid>
        <w:gridCol w:w="3052"/>
        <w:gridCol w:w="5976"/>
      </w:tblGrid>
      <w:tr>
        <w:trPr>
          <w:cantSplit/>
          <w:tblHeader w:val="true"/>
        </w:trPr>
        <w:tc>
          <w:tcPr>
            <w:tcW w:type="dxa" w:w="3052"/>
            <w:shd w:val="clear" w:color="auto" w:fill="173B67"/>
          </w:tcPr>
          <w:p>
            <w:pPr>
              <w:spacing w:after="0" w:line="240" w:lineRule="auto"/>
            </w:pPr>
            <w:r>
              <w:rPr>
                <w:b/>
                <w:color w:val="FFFFFF"/>
                <w:sz w:val="18"/>
              </w:rPr>
              <w:t>Question</w:t>
            </w:r>
          </w:p>
        </w:tc>
        <w:tc>
          <w:tcPr>
            <w:tcW w:type="dxa" w:w="5976"/>
            <w:shd w:val="clear" w:color="auto" w:fill="173B67"/>
          </w:tcPr>
          <w:p>
            <w:pPr>
              <w:spacing w:after="0" w:line="240" w:lineRule="auto"/>
            </w:pPr>
            <w:r>
              <w:rPr>
                <w:b/>
                <w:color w:val="FFFFFF"/>
                <w:sz w:val="18"/>
              </w:rPr>
              <w:t>My action</w:t>
            </w:r>
          </w:p>
        </w:tc>
      </w:tr>
      <w:tr>
        <w:trPr>
          <w:cantSplit/>
        </w:trPr>
        <w:tc>
          <w:tcPr>
            <w:tcW w:type="dxa" w:w="3052"/>
          </w:tcPr>
          <w:p>
            <w:pPr>
              <w:spacing w:after="0" w:line="240" w:lineRule="auto"/>
            </w:pPr>
            <w:r>
              <w:rPr>
                <w:sz w:val="18"/>
              </w:rPr>
              <w:t>Who matters?</w:t>
            </w:r>
          </w:p>
        </w:tc>
        <w:tc>
          <w:tcPr>
            <w:tcW w:type="dxa" w:w="5976"/>
          </w:tcPr>
          <w:p>
            <w:pPr>
              <w:spacing w:after="0" w:line="240" w:lineRule="auto"/>
            </w:pPr>
            <w:r>
              <w:rPr>
                <w:sz w:val="18"/>
              </w:rPr>
              <w:t>Map counterpart, mandate, influencers, blockers and stakeholders.</w:t>
            </w:r>
          </w:p>
        </w:tc>
      </w:tr>
      <w:tr>
        <w:trPr>
          <w:cantSplit/>
        </w:trPr>
        <w:tc>
          <w:tcPr>
            <w:tcW w:type="dxa" w:w="3052"/>
            <w:shd w:val="clear" w:color="auto" w:fill="F3F6FA"/>
          </w:tcPr>
          <w:p>
            <w:pPr>
              <w:spacing w:after="0" w:line="240" w:lineRule="auto"/>
            </w:pPr>
            <w:r>
              <w:rPr>
                <w:sz w:val="18"/>
              </w:rPr>
              <w:t>What do I want?</w:t>
            </w:r>
          </w:p>
        </w:tc>
        <w:tc>
          <w:tcPr>
            <w:tcW w:type="dxa" w:w="5976"/>
            <w:shd w:val="clear" w:color="auto" w:fill="F3F6FA"/>
          </w:tcPr>
          <w:p>
            <w:pPr>
              <w:spacing w:after="0" w:line="240" w:lineRule="auto"/>
            </w:pPr>
            <w:r>
              <w:rPr>
                <w:sz w:val="18"/>
              </w:rPr>
              <w:t>Set target and priorities.</w:t>
            </w:r>
          </w:p>
        </w:tc>
      </w:tr>
      <w:tr>
        <w:trPr>
          <w:cantSplit/>
        </w:trPr>
        <w:tc>
          <w:tcPr>
            <w:tcW w:type="dxa" w:w="3052"/>
          </w:tcPr>
          <w:p>
            <w:pPr>
              <w:spacing w:after="0" w:line="240" w:lineRule="auto"/>
            </w:pPr>
            <w:r>
              <w:rPr>
                <w:sz w:val="18"/>
              </w:rPr>
              <w:t>Where do I stop?</w:t>
            </w:r>
          </w:p>
        </w:tc>
        <w:tc>
          <w:tcPr>
            <w:tcW w:type="dxa" w:w="5976"/>
          </w:tcPr>
          <w:p>
            <w:pPr>
              <w:spacing w:after="0" w:line="240" w:lineRule="auto"/>
            </w:pPr>
            <w:r>
              <w:rPr>
                <w:sz w:val="18"/>
              </w:rPr>
              <w:t>Set reservation point before emotional involvement.</w:t>
            </w:r>
          </w:p>
        </w:tc>
      </w:tr>
      <w:tr>
        <w:trPr>
          <w:cantSplit/>
        </w:trPr>
        <w:tc>
          <w:tcPr>
            <w:tcW w:type="dxa" w:w="3052"/>
            <w:shd w:val="clear" w:color="auto" w:fill="F3F6FA"/>
          </w:tcPr>
          <w:p>
            <w:pPr>
              <w:spacing w:after="0" w:line="240" w:lineRule="auto"/>
            </w:pPr>
            <w:r>
              <w:rPr>
                <w:sz w:val="18"/>
              </w:rPr>
              <w:t>What without agreement?</w:t>
            </w:r>
          </w:p>
        </w:tc>
        <w:tc>
          <w:tcPr>
            <w:tcW w:type="dxa" w:w="5976"/>
            <w:shd w:val="clear" w:color="auto" w:fill="F3F6FA"/>
          </w:tcPr>
          <w:p>
            <w:pPr>
              <w:spacing w:after="0" w:line="240" w:lineRule="auto"/>
            </w:pPr>
            <w:r>
              <w:rPr>
                <w:sz w:val="18"/>
              </w:rPr>
              <w:t>Develop and value BATNA (total value, not price).</w:t>
            </w:r>
          </w:p>
        </w:tc>
      </w:tr>
      <w:tr>
        <w:trPr>
          <w:cantSplit/>
        </w:trPr>
        <w:tc>
          <w:tcPr>
            <w:tcW w:type="dxa" w:w="3052"/>
          </w:tcPr>
          <w:p>
            <w:pPr>
              <w:spacing w:after="0" w:line="240" w:lineRule="auto"/>
            </w:pPr>
            <w:r>
              <w:rPr>
                <w:sz w:val="18"/>
              </w:rPr>
              <w:t>What might they want?</w:t>
            </w:r>
          </w:p>
        </w:tc>
        <w:tc>
          <w:tcPr>
            <w:tcW w:type="dxa" w:w="5976"/>
          </w:tcPr>
          <w:p>
            <w:pPr>
              <w:spacing w:after="0" w:line="240" w:lineRule="auto"/>
            </w:pPr>
            <w:r>
              <w:rPr>
                <w:sz w:val="18"/>
              </w:rPr>
              <w:t>Prepare hypotheses, not assumptions.</w:t>
            </w:r>
          </w:p>
        </w:tc>
      </w:tr>
      <w:tr>
        <w:trPr>
          <w:cantSplit/>
        </w:trPr>
        <w:tc>
          <w:tcPr>
            <w:tcW w:type="dxa" w:w="3052"/>
            <w:shd w:val="clear" w:color="auto" w:fill="F3F6FA"/>
          </w:tcPr>
          <w:p>
            <w:pPr>
              <w:spacing w:after="0" w:line="240" w:lineRule="auto"/>
            </w:pPr>
            <w:r>
              <w:rPr>
                <w:sz w:val="18"/>
              </w:rPr>
              <w:t>What justifies my proposal?</w:t>
            </w:r>
          </w:p>
        </w:tc>
        <w:tc>
          <w:tcPr>
            <w:tcW w:type="dxa" w:w="5976"/>
            <w:shd w:val="clear" w:color="auto" w:fill="F3F6FA"/>
          </w:tcPr>
          <w:p>
            <w:pPr>
              <w:spacing w:after="0" w:line="240" w:lineRule="auto"/>
            </w:pPr>
            <w:r>
              <w:rPr>
                <w:sz w:val="18"/>
              </w:rPr>
              <w:t>Gather objective criteria I would accept if the roles were reversed.</w:t>
            </w:r>
          </w:p>
        </w:tc>
      </w:tr>
      <w:tr>
        <w:trPr>
          <w:cantSplit/>
        </w:trPr>
        <w:tc>
          <w:tcPr>
            <w:tcW w:type="dxa" w:w="3052"/>
          </w:tcPr>
          <w:p>
            <w:pPr>
              <w:spacing w:after="0" w:line="240" w:lineRule="auto"/>
            </w:pPr>
            <w:r>
              <w:rPr>
                <w:sz w:val="18"/>
              </w:rPr>
              <w:t>What variables exist?</w:t>
            </w:r>
          </w:p>
        </w:tc>
        <w:tc>
          <w:tcPr>
            <w:tcW w:type="dxa" w:w="5976"/>
          </w:tcPr>
          <w:p>
            <w:pPr>
              <w:spacing w:after="0" w:line="240" w:lineRule="auto"/>
            </w:pPr>
            <w:r>
              <w:rPr>
                <w:sz w:val="18"/>
              </w:rPr>
              <w:t>Break the deal beyond price.</w:t>
            </w:r>
          </w:p>
        </w:tc>
      </w:tr>
      <w:tr>
        <w:trPr>
          <w:cantSplit/>
        </w:trPr>
        <w:tc>
          <w:tcPr>
            <w:tcW w:type="dxa" w:w="3052"/>
            <w:shd w:val="clear" w:color="auto" w:fill="F3F6FA"/>
          </w:tcPr>
          <w:p>
            <w:pPr>
              <w:spacing w:after="0" w:line="240" w:lineRule="auto"/>
            </w:pPr>
            <w:r>
              <w:rPr>
                <w:sz w:val="18"/>
              </w:rPr>
              <w:t>What information do I need?</w:t>
            </w:r>
          </w:p>
        </w:tc>
        <w:tc>
          <w:tcPr>
            <w:tcW w:type="dxa" w:w="5976"/>
            <w:shd w:val="clear" w:color="auto" w:fill="F3F6FA"/>
          </w:tcPr>
          <w:p>
            <w:pPr>
              <w:spacing w:after="0" w:line="240" w:lineRule="auto"/>
            </w:pPr>
            <w:r>
              <w:rPr>
                <w:sz w:val="18"/>
              </w:rPr>
              <w:t>Prepare questions and listening goals.</w:t>
            </w:r>
          </w:p>
        </w:tc>
      </w:tr>
      <w:tr>
        <w:trPr>
          <w:cantSplit/>
        </w:trPr>
        <w:tc>
          <w:tcPr>
            <w:tcW w:type="dxa" w:w="3052"/>
          </w:tcPr>
          <w:p>
            <w:pPr>
              <w:spacing w:after="0" w:line="240" w:lineRule="auto"/>
            </w:pPr>
            <w:r>
              <w:rPr>
                <w:sz w:val="18"/>
              </w:rPr>
              <w:t>What stays private?</w:t>
            </w:r>
          </w:p>
        </w:tc>
        <w:tc>
          <w:tcPr>
            <w:tcW w:type="dxa" w:w="5976"/>
          </w:tcPr>
          <w:p>
            <w:pPr>
              <w:spacing w:after="0" w:line="240" w:lineRule="auto"/>
            </w:pPr>
            <w:r>
              <w:rPr>
                <w:sz w:val="18"/>
              </w:rPr>
              <w:t>Protect reservation point and sensitive constraints.</w:t>
            </w:r>
          </w:p>
        </w:tc>
      </w:tr>
      <w:tr>
        <w:trPr>
          <w:cantSplit/>
        </w:trPr>
        <w:tc>
          <w:tcPr>
            <w:tcW w:type="dxa" w:w="3052"/>
            <w:shd w:val="clear" w:color="auto" w:fill="F3F6FA"/>
          </w:tcPr>
          <w:p>
            <w:pPr>
              <w:spacing w:after="0" w:line="240" w:lineRule="auto"/>
            </w:pPr>
            <w:r>
              <w:rPr>
                <w:sz w:val="18"/>
              </w:rPr>
              <w:t>How should process run?</w:t>
            </w:r>
          </w:p>
        </w:tc>
        <w:tc>
          <w:tcPr>
            <w:tcW w:type="dxa" w:w="5976"/>
            <w:shd w:val="clear" w:color="auto" w:fill="F3F6FA"/>
          </w:tcPr>
          <w:p>
            <w:pPr>
              <w:spacing w:after="0" w:line="240" w:lineRule="auto"/>
            </w:pPr>
            <w:r>
              <w:rPr>
                <w:sz w:val="18"/>
              </w:rPr>
              <w:t>Plan sequence, channel, timing and logistics; be ready to propose it.</w:t>
            </w:r>
          </w:p>
        </w:tc>
      </w:tr>
    </w:tbl>
    <w:p>
      <w:pPr>
        <w:spacing w:after="0" w:line="144" w:lineRule="auto"/>
      </w:pPr>
      <w:r>
        <w:rPr>
          <w:sz w:val="8"/>
        </w:rPr>
        <w:t xml:space="preserve"> </w:t>
      </w:r>
    </w:p>
    <w:p>
      <w:pPr>
        <w:pStyle w:val="Heading2"/>
      </w:pPr>
      <w:r>
        <w:t>At the Table</w:t>
      </w:r>
    </w:p>
    <w:p>
      <w:pPr>
        <w:pStyle w:val="ListBullet"/>
      </w:pPr>
      <w:r>
        <w:t>Listen before advocating; restate and verify important information.</w:t>
      </w:r>
    </w:p>
    <w:p>
      <w:pPr>
        <w:pStyle w:val="ListBullet"/>
      </w:pPr>
      <w:r>
        <w:t>Distinguish position from motivation by asking why.</w:t>
      </w:r>
    </w:p>
    <w:p>
      <w:pPr>
        <w:pStyle w:val="ListBullet"/>
      </w:pPr>
      <w:r>
        <w:t>Use an ambitious but credible anchor when appropriate.</w:t>
      </w:r>
    </w:p>
    <w:p>
      <w:pPr>
        <w:pStyle w:val="ListBullet"/>
      </w:pPr>
      <w:r>
        <w:t>Do not concede merely because the other side countered.</w:t>
      </w:r>
    </w:p>
    <w:p>
      <w:pPr>
        <w:pStyle w:val="ListBullet"/>
      </w:pPr>
      <w:r>
        <w:t>Use conditional trades: “If you can..., then I can...”.</w:t>
      </w:r>
    </w:p>
    <w:p>
      <w:pPr>
        <w:pStyle w:val="ListBullet"/>
      </w:pPr>
      <w:r>
        <w:t>Package multiple variables rather than negotiate each independently.</w:t>
      </w:r>
    </w:p>
    <w:p>
      <w:pPr>
        <w:pStyle w:val="ListBullet"/>
      </w:pPr>
      <w:r>
        <w:t>Use objective criteria to justify movement.</w:t>
      </w:r>
    </w:p>
    <w:p>
      <w:pPr>
        <w:pStyle w:val="ListBullet"/>
      </w:pPr>
      <w:r>
        <w:t>Watch how my words and actions may be perceived.</w:t>
      </w:r>
    </w:p>
    <w:p>
      <w:pPr>
        <w:pStyle w:val="ListBullet"/>
      </w:pPr>
      <w:r>
        <w:t>Keep stakeholder and mandate issues visible.</w:t>
      </w:r>
    </w:p>
    <w:p>
      <w:pPr>
        <w:pStyle w:val="ListBullet"/>
      </w:pPr>
      <w:r>
        <w:t>Compare the emerging package with BATNA rather than sunk effort.</w:t>
      </w:r>
    </w:p>
    <w:p>
      <w:pPr>
        <w:pStyle w:val="Heading2"/>
      </w:pPr>
      <w:r>
        <w:t>Before Closing</w:t>
      </w:r>
    </w:p>
    <w:p>
      <w:pPr>
        <w:pStyle w:val="ListBullet"/>
      </w:pPr>
      <w:r>
        <w:t>Confirm the complete package, not only headline price.</w:t>
      </w:r>
    </w:p>
    <w:p>
      <w:pPr>
        <w:pStyle w:val="ListBullet"/>
      </w:pPr>
      <w:r>
        <w:t>Check implementation, authority, documentation and timing.</w:t>
      </w:r>
    </w:p>
    <w:p>
      <w:pPr>
        <w:pStyle w:val="ListBullet"/>
      </w:pPr>
      <w:r>
        <w:t>Consider whether a post-settlement improvement could benefit both sides without harming the existing agreement.</w:t>
      </w:r>
    </w:p>
    <w:p>
      <w:pPr>
        <w:pStyle w:val="ListBullet"/>
      </w:pPr>
      <w:r>
        <w:t>Do not use “final” unless I am prepared to act consistently.</w:t>
      </w:r>
    </w:p>
    <w:p>
      <w:pPr>
        <w:pStyle w:val="ListBullet"/>
      </w:pPr>
      <w:r>
        <w:t>Record what worked, what surprised me and what I would change.</w:t>
      </w:r>
    </w:p>
    <w:p>
      <w:pPr>
        <w:pStyle w:val="Heading2"/>
      </w:pPr>
      <w:r>
        <w:t>Run 2 checkpoint</w:t>
      </w:r>
    </w:p>
    <w:p>
      <w:pPr>
        <w:pBdr>
          <w:left w:val="single" w:sz="24" w:space="6" w:color="0563C1"/>
        </w:pBdr>
        <w:shd w:val="clear" w:color="auto" w:fill="EAF2FB"/>
        <w:spacing w:before="80"/>
      </w:pPr>
      <w:r>
        <w:rPr>
          <w:b/>
        </w:rPr>
        <w:t xml:space="preserve">Run the lab again now (Run 2): </w:t>
      </w:r>
      <w:hyperlink r:id="rId11">
        <w:r>
          <w:rPr>
            <w:b/>
            <w:rStyle w:val="Hyperlink"/>
            <w:color w:val="0563C1"/>
            <w:u w:val="single"/>
          </w:rPr>
          <w:t xml:space="preserve">https://www.negotiation.site/m10-simulation.html</w:t>
        </w:r>
      </w:hyperlink>
    </w:p>
    <w:p>
      <w:r>
        <w:rPr>
          <w:i/>
          <w:color w:val="556070"/>
          <w:sz w:val="19"/>
        </w:rPr>
        <w:t>Run the lab with the playbook beside you, paste the debrief into Appendix A, and complete Run 2 in Appendix B. Compare the path tags with Run 1, not only the score.</w:t>
      </w:r>
    </w:p>
    <w:p>
      <w:pPr>
        <w:pBdr>
          <w:left w:val="single" w:sz="24" w:space="6" w:color="A86E17"/>
        </w:pBdr>
        <w:shd w:val="clear" w:color="auto" w:fill="FFF7E7"/>
        <w:spacing w:before="80" w:after="160"/>
      </w:pPr>
      <w:r>
        <w:rPr>
          <w:b/>
          <w:color w:val="A86E17"/>
        </w:rPr>
        <w:t>My Rule #16:</w:t>
      </w:r>
      <w:r>
        <w:rPr>
          <w:b/>
        </w:rPr>
        <w:t xml:space="preserve"> Prepare the map, not a rigid script. Use the map to adapt without losing my objectives or discipline.</w:t>
      </w:r>
    </w:p>
    <w:p>
      <w:pPr>
        <w:pStyle w:val="Heading1"/>
      </w:pPr>
      <w:r>
        <w:t>Part 17 – Interactive Property Negotiation Lab: Turning Reflection into Practice</w:t>
      </w:r>
    </w:p>
    <w:p>
      <w:r>
        <w:rPr>
          <w:b/>
        </w:rPr>
        <w:t>The moment.</w:t>
      </w:r>
      <w:r>
        <w:t xml:space="preserve"> When I had written most of this journal, I noticed that I could explain every concept but had not tested whether I would choose it. That gap is why I built the lab. A written journal can explain that active listening or stakeholder mapping matters, but an interactive exercise forces the user to choose between competing actions and then reflect on the consequences.</w:t>
      </w:r>
    </w:p>
    <w:p>
      <w:pPr>
        <w:pBdr>
          <w:left w:val="single" w:sz="24" w:space="6" w:color="0563C1"/>
        </w:pBdr>
        <w:shd w:val="clear" w:color="auto" w:fill="EAF2FB"/>
        <w:spacing w:before="80"/>
      </w:pPr>
      <w:r>
        <w:rPr>
          <w:b/>
        </w:rPr>
        <w:t xml:space="preserve">Live learning platform: </w:t>
      </w:r>
      <w:hyperlink r:id="rId9">
        <w:r>
          <w:rPr>
            <w:b/>
            <w:rStyle w:val="Hyperlink"/>
            <w:color w:val="0563C1"/>
            <w:u w:val="single"/>
          </w:rPr>
          <w:t xml:space="preserve">https://www.negotiation.site/</w:t>
        </w:r>
      </w:hyperlink>
    </w:p>
    <w:tbl>
      <w:tblPr>
        <w:tblStyle w:val="TableGrid"/>
        <w:tblW w:type="dxa" w:w="2592"/>
        <w:jc w:val="center"/>
        <w:tblLayout w:type="fixed"/>
        <w:tblLook w:firstColumn="1" w:firstRow="1" w:lastColumn="0" w:lastRow="0" w:noHBand="0" w:noVBand="1" w:val="04A0"/>
        <w:tblLayout w:type="fixed"/>
      </w:tblPr>
      <w:tblGrid>
        <w:gridCol w:w="2592"/>
      </w:tblGrid>
      <w:tr>
        <w:trPr>
          <w:cantSplit/>
        </w:trPr>
        <w:tc>
          <w:tcPr>
            <w:tcW w:type="dxa" w:w="2592"/>
            <w:vAlign w:val="center"/>
          </w:tcPr>
          <w:p>
            <w:pPr>
              <w:keepNext/>
              <w:spacing w:before="80" w:after="80" w:line="240" w:lineRule="auto"/>
              <w:jc w:val="center"/>
            </w:pPr>
            <w:r>
              <w:drawing>
                <wp:inline xmlns:a="http://schemas.openxmlformats.org/drawingml/2006/main" xmlns:pic="http://schemas.openxmlformats.org/drawingml/2006/picture">
                  <wp:extent cx="1280160" cy="1280160"/>
                  <wp:docPr id="2" name="Picture 2"/>
                  <wp:cNvGraphicFramePr>
                    <a:graphicFrameLocks noChangeAspect="1"/>
                  </wp:cNvGraphicFramePr>
                  <a:graphic>
                    <a:graphicData uri="http://schemas.openxmlformats.org/drawingml/2006/picture">
                      <pic:pic>
                        <pic:nvPicPr>
                          <pic:cNvPr id="0" name="qr_sim.png"/>
                          <pic:cNvPicPr/>
                        </pic:nvPicPr>
                        <pic:blipFill>
                          <a:blip r:embed="rId12"/>
                          <a:stretch>
                            <a:fillRect/>
                          </a:stretch>
                        </pic:blipFill>
                        <pic:spPr>
                          <a:xfrm>
                            <a:off x="0" y="0"/>
                            <a:ext cx="1280160" cy="1280160"/>
                          </a:xfrm>
                          <a:prstGeom prst="rect"/>
                        </pic:spPr>
                      </pic:pic>
                    </a:graphicData>
                  </a:graphic>
                </wp:inline>
              </w:drawing>
            </w:r>
          </w:p>
        </w:tc>
      </w:tr>
    </w:tbl>
    <w:p>
      <w:pPr>
        <w:spacing w:before="60" w:after="160"/>
        <w:jc w:val="center"/>
      </w:pPr>
      <w:r>
        <w:rPr>
          <w:i/>
          <w:color w:val="556070"/>
          <w:sz w:val="18"/>
        </w:rPr>
        <w:t>Scan to run the simulation — www.negotiation.site/m10-simulation.html</w:t>
      </w:r>
    </w:p>
    <w:p>
      <w:r>
        <w:rPr>
          <w:i/>
          <w:color w:val="556070"/>
          <w:sz w:val="19"/>
        </w:rPr>
        <w:t>The live platform at www.negotiation.site contains twelve learning modules, the full simulation, a Theory-to-Journal map and a reflection log. A standalone copy of the simulation (interactive_negotiation_lab_v3.html) is also submitted with this journal.</w:t>
      </w:r>
    </w:p>
    <w:p>
      <w:r>
        <w:rPr>
          <w:b/>
        </w:rPr>
        <w:t>What the lab does.</w:t>
      </w:r>
      <w:r>
        <w:t xml:space="preserve"> The lab uses a property scenario with a seller asking S$1.80m. The buyer has a target of S$1.74m, a reservation point of S$1.78m and a BATNA unit at S$1.72m. Each run assigns one of three seller profiles (time-pressured, face-sensitive or convenience-focused). Version 3 adds a People/Substance/Process prep checklist, then six decisions; after each, a coach line gives a “Journal link” to the relevant Part. The debrief shows People, Substance and Process scores, a decision audit, a block mapping each choice to a Journal Part, and a reflection prompt on depth and learning beyond class.</w:t>
      </w:r>
    </w:p>
    <w:p>
      <w:pPr>
        <w:pStyle w:val="Heading2"/>
      </w:pPr>
      <w:r>
        <w:t>Decision tree: what if I pick A versus B?</w:t>
      </w:r>
    </w:p>
    <w:p>
      <w:r>
        <w:t>The tree mirrors the lab’s branching logic for the two moments I find hardest in real life. It is written as I would think it through, not as a scoring key.</w:t>
      </w:r>
    </w:p>
    <w:p>
      <w:pPr>
        <w:pStyle w:val="ListBullet"/>
      </w:pPr>
      <w:r>
        <w:rPr>
          <w:b/>
        </w:rPr>
        <w:t>Step 1 – the seller says “S$1.80m is my absolute minimum.”</w:t>
      </w:r>
    </w:p>
    <w:p>
      <w:pPr>
        <w:pStyle w:val="ListBullet2"/>
      </w:pPr>
      <w:r>
        <w:t>If I counter at S$1.70m: the seller defends S$1.80m; we are in a one-variable contest and I have learned nothing (Parts 1, 3).</w:t>
      </w:r>
    </w:p>
    <w:p>
      <w:pPr>
        <w:pStyle w:val="ListBullet2"/>
      </w:pPr>
      <w:r>
        <w:t>If I cite comparables at S$1.72m: I gain some legitimacy, but the seller may feel argued with before being heard (Part 7).</w:t>
      </w:r>
    </w:p>
    <w:p>
      <w:pPr>
        <w:pStyle w:val="ListBullet2"/>
      </w:pPr>
      <w:r>
        <w:t>If I reveal my BATNA and threaten to walk: I protect myself, but information exchange shrinks and the seller may harden (Parts 10, 12).</w:t>
      </w:r>
    </w:p>
    <w:p>
      <w:pPr>
        <w:pStyle w:val="ListBullet2"/>
      </w:pPr>
      <w:r>
        <w:t>If I ask what matters apart from price: I concede nothing and open the door to her interests (Parts 1, 2, 6).</w:t>
      </w:r>
    </w:p>
    <w:p>
      <w:pPr>
        <w:pStyle w:val="ListBullet2"/>
        <w:ind w:left="1512"/>
      </w:pPr>
      <w:r>
        <w:t>If she then reveals a constraint and I restate and clarify: I discover timing and certainty as variables (Part 6).</w:t>
      </w:r>
    </w:p>
    <w:p>
      <w:pPr>
        <w:pStyle w:val="ListBullet2"/>
        <w:ind w:left="1512"/>
      </w:pPr>
      <w:r>
        <w:t>If she reveals a constraint and I jump to S$1.75m: I have heard the information but paid for it with price instead of using it (Part 11).</w:t>
      </w:r>
    </w:p>
    <w:p>
      <w:pPr>
        <w:pStyle w:val="ListBullet"/>
      </w:pPr>
      <w:r>
        <w:rPr>
          <w:b/>
        </w:rPr>
        <w:t>Step 5 – the seller says “I need to discuss this with my spouse tonight.”</w:t>
      </w:r>
    </w:p>
    <w:p>
      <w:pPr>
        <w:pStyle w:val="ListBullet2"/>
      </w:pPr>
      <w:r>
        <w:t>If I demand acceptance now: I ignore a real decision-maker; pressure cannot substitute for approval (Part 8).</w:t>
      </w:r>
    </w:p>
    <w:p>
      <w:pPr>
        <w:pStyle w:val="ListBullet2"/>
      </w:pPr>
      <w:r>
        <w:t>If I say “OK, let me know”: polite, but I surrender sequence and follow-up (Part 9).</w:t>
      </w:r>
    </w:p>
    <w:p>
      <w:pPr>
        <w:pStyle w:val="ListBullet2"/>
      </w:pPr>
      <w:r>
        <w:t>If I clarify who approves, what they need, set a follow-up time and summarise in writing: I manage mandate and consolidate one text (Parts 8, 9).</w:t>
      </w:r>
    </w:p>
    <w:p>
      <w:r>
        <w:rPr>
          <w:b/>
        </w:rPr>
        <w:t>Critical question: does the lab teach my own biases?</w:t>
      </w:r>
      <w:r>
        <w:t xml:space="preserve"> The lab is not presented as a universal scoring model. Real negotiation is contextual, and the scores reflect my judgement of course concepts, not market truth. There are cases where an immediate, well-supported counter is right, and where the spouse genuinely prefers a fast yes. I try to mitigate this in three ways: the scoring explains why rather than only how much; the seller profiles vary; and the debrief asks the user to write what they would change in a real negotiation, which invites disagreement with the lab. Its purpose is reflective: to make the user explain why one response may create more information, preserve credibility or expand value better than another. This mirrors the BMS5410 pedagogy: experience through simulations, followed by debrief and synthesis.</w:t>
      </w:r>
    </w:p>
    <w:p>
      <w:pPr>
        <w:pBdr>
          <w:left w:val="single" w:sz="24" w:space="6" w:color="A86E17"/>
        </w:pBdr>
        <w:shd w:val="clear" w:color="auto" w:fill="FFF7E7"/>
        <w:spacing w:before="80" w:after="160"/>
      </w:pPr>
      <w:r>
        <w:rPr>
          <w:b/>
          <w:color w:val="A86E17"/>
        </w:rPr>
        <w:t>My Rule #17:</w:t>
      </w:r>
      <w:r>
        <w:rPr>
          <w:b/>
        </w:rPr>
        <w:t xml:space="preserve"> If I can explain a concept, I understand it intellectually; if I can make a better decision under pressure and explain why, I am beginning to apply it.</w:t>
      </w:r>
    </w:p>
    <w:p>
      <w:pPr>
        <w:pStyle w:val="Heading1"/>
      </w:pPr>
      <w:r>
        <w:t>Part 18 – Final Reflection: The Negotiator I Am Becoming</w:t>
      </w:r>
    </w:p>
    <w:p>
      <w:r>
        <w:t>At the beginning of this learning journey, successful negotiation meant getting a large discount from the asking price. That definition was simple, measurable and attractive. It was also incomplete.</w:t>
      </w:r>
    </w:p>
    <w:p>
      <w:r>
        <w:t>I now see negotiation as a system. People matter because relationships, mandate and stakeholders shape what is possible. Substance matters because positions can hide motivations, alternatives determine power and multiple variables can create value. Process matters because sequence, communication and logistics can change how the same substantive problem is handled.</w:t>
      </w:r>
    </w:p>
    <w:p>
      <w:r>
        <w:t>The course changed how I think about strength. Strength is not only making a low opening offer, refusing to move or threatening to walk away. Strength can be having a credible BATNA, asking a question that reveals the real problem, making a concession conditionally, giving the counterpart a way to say yes, or refusing to escalate when escalation would destroy value.</w:t>
      </w:r>
    </w:p>
    <w:p>
      <w:r>
        <w:t>My property example shows this development. I may still open assertively, seek a lower price and walk away. The difference is that these actions are no longer the entire strategy. Before the offer, I prepare. After the counteroffer, I diagnose. When price stalls, I expand variables. When I move, I manage the signal created by the concession. Before accepting, I compare the package with my BATNA.</w:t>
      </w:r>
    </w:p>
    <w:p>
      <w:r>
        <w:t>The simulations broadened the lens from perception and value to multiparty process, leadership and culture, and taught me to treat culture as a guide for inquiry rather than a stereotype. Outside reading gave me language for what I was learning: The First Move for preparation and process as initiative, Getting to Yes for interests and principled negotiation, and Negotiation Genius for the biases that made my old habits feel natural.</w:t>
      </w:r>
    </w:p>
    <w:p>
      <w:r>
        <w:t>My original journal concluded that negotiation should be less about improvisation and more about prepared adaptability. I would keep that conclusion. I cannot control the other party or predict every move. I can control the quality of my preparation, the questions I ask, the assumptions I test, the alternatives I develop, the credibility of my communication and the discipline of my decisions.</w:t>
      </w:r>
    </w:p>
    <w:p>
      <w:r>
        <w:rPr>
          <w:b/>
        </w:rPr>
        <w:t>My new definition of successful negotiation:</w:t>
      </w:r>
      <w:r>
        <w:t xml:space="preserve"> an outcome in which I understand the people, interests, alternatives and process; create and claim value deliberately; protect credibility and relationships where appropriate; and choose agreement only when it is better than my best alternative.</w:t>
      </w:r>
    </w:p>
    <w:p>
      <w:r>
        <w:t>The question I now want to ask before an important negotiation is: “Have I understood enough about the people, substance and process to make my next move deliberately?”</w:t>
      </w:r>
    </w:p>
    <w:p>
      <w:pPr>
        <w:pBdr>
          <w:left w:val="single" w:sz="24" w:space="6" w:color="A86E17"/>
        </w:pBdr>
        <w:shd w:val="clear" w:color="auto" w:fill="FFF7E7"/>
        <w:spacing w:before="80" w:after="160"/>
      </w:pPr>
      <w:r>
        <w:rPr>
          <w:b/>
          <w:color w:val="A86E17"/>
        </w:rPr>
        <w:t>My Rule #18:</w:t>
      </w:r>
      <w:r>
        <w:rPr>
          <w:b/>
        </w:rPr>
        <w:t xml:space="preserve"> Become a prepared, adaptable negotiator – not simply a harder bargainer.</w:t>
      </w:r>
    </w:p>
    <w:p>
      <w:pPr>
        <w:pStyle w:val="Heading1"/>
      </w:pPr>
      <w:r>
        <w:t>References and Course Materials</w:t>
      </w:r>
    </w:p>
    <w:p>
      <w:pPr>
        <w:ind w:left="576" w:hanging="576"/>
      </w:pPr>
      <w:r>
        <w:t>Chao, T.-W. (2026). BMS5410 Negotiation and Conflict Management – Syllabus, AY2026/2027 Semester 1. National University of Singapore.</w:t>
      </w:r>
    </w:p>
    <w:p>
      <w:pPr>
        <w:ind w:left="576" w:hanging="576"/>
      </w:pPr>
      <w:r>
        <w:t>Chao, T.-W. (2026). Week 1: Negotiation Strategy. BMS5410 Negotiation and Conflict Management. National University of Singapore.</w:t>
      </w:r>
    </w:p>
    <w:p>
      <w:pPr>
        <w:ind w:left="576" w:hanging="576"/>
      </w:pPr>
      <w:r>
        <w:t>Chao, T.-W. (2026). Week 3: Negotiation Preparation. BMS5410 Negotiation and Conflict Management. National University of Singapore.</w:t>
      </w:r>
    </w:p>
    <w:p>
      <w:pPr>
        <w:ind w:left="576" w:hanging="576"/>
      </w:pPr>
      <w:r>
        <w:t>Chao, T.-W. (2026). Week 5: Active Communication &amp; Influencing Strategy. BMS5410 Negotiation and Conflict Management. National University of Singapore.</w:t>
      </w:r>
    </w:p>
    <w:p>
      <w:pPr>
        <w:ind w:left="576" w:hanging="576"/>
      </w:pPr>
      <w:r>
        <w:t>Chao, T.-W. (2026). Week 5: A Negotiation Analysis of the Cuban Missile Crisis. BMS5410 Negotiation and Conflict Management. National University of Singapore.</w:t>
      </w:r>
    </w:p>
    <w:p>
      <w:pPr>
        <w:ind w:left="576" w:hanging="576"/>
      </w:pPr>
      <w:r>
        <w:t>Chao, T.-W. (2026). Week 6: Multi-Party Negotiation – Convention on the Future of Europe. BMS5410 Negotiation and Conflict Management. National University of Singapore.</w:t>
      </w:r>
    </w:p>
    <w:p>
      <w:pPr>
        <w:ind w:left="576" w:hanging="576"/>
      </w:pPr>
      <w:r>
        <w:t xml:space="preserve">Fisher, R., Ury, W., &amp; Patton, B. (1991). </w:t>
      </w:r>
      <w:r>
        <w:rPr>
          <w:i/>
        </w:rPr>
        <w:t>Getting to yes: Negotiating agreement without giving in</w:t>
      </w:r>
      <w:r>
        <w:t xml:space="preserve"> (2nd ed.). Penguin Books.</w:t>
      </w:r>
    </w:p>
    <w:p>
      <w:pPr>
        <w:ind w:left="576" w:hanging="576"/>
      </w:pPr>
      <w:r>
        <w:t xml:space="preserve">Lempereur, A., &amp; Colson, A. (2010). </w:t>
      </w:r>
      <w:r>
        <w:rPr>
          <w:i/>
        </w:rPr>
        <w:t>The first move: A negotiator’s companion</w:t>
      </w:r>
      <w:r>
        <w:t>. John Wiley &amp; Sons. (Strongly recommended course reading in the syllabus.)</w:t>
      </w:r>
    </w:p>
    <w:p>
      <w:pPr>
        <w:ind w:left="576" w:hanging="576"/>
      </w:pPr>
      <w:r>
        <w:t xml:space="preserve">Malhotra, D. (2016). </w:t>
      </w:r>
      <w:r>
        <w:rPr>
          <w:i/>
        </w:rPr>
        <w:t>Negotiating the impossible: How to break deadlocks and resolve ugly conflicts (without money or muscle)</w:t>
      </w:r>
      <w:r>
        <w:t>. Berrett-Koehler.</w:t>
      </w:r>
    </w:p>
    <w:p>
      <w:pPr>
        <w:ind w:left="576" w:hanging="576"/>
      </w:pPr>
      <w:r>
        <w:t xml:space="preserve">Malhotra, D., &amp; Bazerman, M. H. (2007). </w:t>
      </w:r>
      <w:r>
        <w:rPr>
          <w:i/>
        </w:rPr>
        <w:t>Negotiation genius: How to overcome obstacles and achieve brilliant results at the bargaining table and beyond</w:t>
      </w:r>
      <w:r>
        <w:t>. Bantam Books.</w:t>
      </w:r>
    </w:p>
    <w:p>
      <w:pPr>
        <w:ind w:left="576" w:hanging="576"/>
      </w:pPr>
      <w:r>
        <w:t>Original BMS5410 Learning Journal: “Successful Negotiation starts with proper preparations.”</w:t>
      </w:r>
    </w:p>
    <w:p>
      <w:pPr>
        <w:ind w:left="576" w:hanging="576"/>
      </w:pPr>
      <w:r>
        <w:t>Companion website: BMS5410 Interactive Negotiation Lab v3 (2026). https://www.negotiation.site/.</w:t>
      </w:r>
    </w:p>
    <w:p>
      <w:pPr>
        <w:pStyle w:val="Heading1"/>
      </w:pPr>
      <w:r>
        <w:t>Coverage Check Against the Course Syllabus</w:t>
      </w:r>
    </w:p>
    <w:p>
      <w:pPr>
        <w:keepNext/>
        <w:spacing w:before="120" w:after="60"/>
      </w:pPr>
      <w:r>
        <w:rPr>
          <w:b/>
          <w:color w:val="173B67"/>
          <w:sz w:val="20"/>
        </w:rPr>
        <w:t>Table 14. Coverage check</w:t>
      </w:r>
    </w:p>
    <w:tbl>
      <w:tblPr>
        <w:tblStyle w:val="TableGrid"/>
        <w:tblW w:type="auto" w:w="0"/>
        <w:jc w:val="center"/>
        <w:tblLook w:firstColumn="1" w:firstRow="1" w:lastColumn="0" w:lastRow="0" w:noHBand="0" w:noVBand="1" w:val="04A0"/>
        <w:tblLayout w:type="fixed"/>
      </w:tblPr>
      <w:tblGrid>
        <w:gridCol w:w="4045"/>
        <w:gridCol w:w="3119"/>
        <w:gridCol w:w="1863"/>
      </w:tblGrid>
      <w:tr>
        <w:trPr>
          <w:cantSplit/>
          <w:tblHeader w:val="true"/>
        </w:trPr>
        <w:tc>
          <w:tcPr>
            <w:tcW w:type="dxa" w:w="4045"/>
            <w:shd w:val="clear" w:color="auto" w:fill="173B67"/>
          </w:tcPr>
          <w:p>
            <w:pPr>
              <w:spacing w:after="0" w:line="240" w:lineRule="auto"/>
            </w:pPr>
            <w:r>
              <w:rPr>
                <w:b/>
                <w:color w:val="FFFFFF"/>
                <w:sz w:val="18"/>
              </w:rPr>
              <w:t>Course item</w:t>
            </w:r>
          </w:p>
        </w:tc>
        <w:tc>
          <w:tcPr>
            <w:tcW w:type="dxa" w:w="3120"/>
            <w:shd w:val="clear" w:color="auto" w:fill="173B67"/>
          </w:tcPr>
          <w:p>
            <w:pPr>
              <w:spacing w:after="0" w:line="240" w:lineRule="auto"/>
            </w:pPr>
            <w:r>
              <w:rPr>
                <w:b/>
                <w:color w:val="FFFFFF"/>
                <w:sz w:val="18"/>
              </w:rPr>
              <w:t>Where covered</w:t>
            </w:r>
          </w:p>
        </w:tc>
        <w:tc>
          <w:tcPr>
            <w:tcW w:type="dxa" w:w="1864"/>
            <w:shd w:val="clear" w:color="auto" w:fill="173B67"/>
          </w:tcPr>
          <w:p>
            <w:pPr>
              <w:spacing w:after="0" w:line="240" w:lineRule="auto"/>
            </w:pPr>
            <w:r>
              <w:rPr>
                <w:b/>
                <w:color w:val="FFFFFF"/>
                <w:sz w:val="18"/>
              </w:rPr>
              <w:t>Lab step</w:t>
            </w:r>
          </w:p>
        </w:tc>
      </w:tr>
      <w:tr>
        <w:trPr>
          <w:cantSplit/>
        </w:trPr>
        <w:tc>
          <w:tcPr>
            <w:tcW w:type="dxa" w:w="4045"/>
          </w:tcPr>
          <w:p>
            <w:pPr>
              <w:spacing w:after="0" w:line="240" w:lineRule="auto"/>
            </w:pPr>
            <w:r>
              <w:rPr>
                <w:sz w:val="18"/>
              </w:rPr>
              <w:t>Interest Rate</w:t>
            </w:r>
          </w:p>
        </w:tc>
        <w:tc>
          <w:tcPr>
            <w:tcW w:type="dxa" w:w="3120"/>
          </w:tcPr>
          <w:p>
            <w:pPr>
              <w:spacing w:after="0" w:line="240" w:lineRule="auto"/>
            </w:pPr>
            <w:r>
              <w:rPr>
                <w:sz w:val="18"/>
              </w:rPr>
              <w:t>Parts 2 and 14</w:t>
            </w:r>
          </w:p>
        </w:tc>
        <w:tc>
          <w:tcPr>
            <w:tcW w:type="dxa" w:w="1864"/>
          </w:tcPr>
          <w:p>
            <w:pPr>
              <w:spacing w:after="0" w:line="240" w:lineRule="auto"/>
            </w:pPr>
            <w:r>
              <w:rPr>
                <w:sz w:val="18"/>
              </w:rPr>
              <w:t>Step 1</w:t>
            </w:r>
          </w:p>
        </w:tc>
      </w:tr>
      <w:tr>
        <w:trPr>
          <w:cantSplit/>
        </w:trPr>
        <w:tc>
          <w:tcPr>
            <w:tcW w:type="dxa" w:w="4045"/>
            <w:shd w:val="clear" w:color="auto" w:fill="F3F6FA"/>
          </w:tcPr>
          <w:p>
            <w:pPr>
              <w:spacing w:after="0" w:line="240" w:lineRule="auto"/>
            </w:pPr>
            <w:r>
              <w:rPr>
                <w:sz w:val="18"/>
              </w:rPr>
              <w:t>Sally Soprano</w:t>
            </w:r>
          </w:p>
        </w:tc>
        <w:tc>
          <w:tcPr>
            <w:tcW w:type="dxa" w:w="3120"/>
            <w:shd w:val="clear" w:color="auto" w:fill="F3F6FA"/>
          </w:tcPr>
          <w:p>
            <w:pPr>
              <w:spacing w:after="0" w:line="240" w:lineRule="auto"/>
            </w:pPr>
            <w:r>
              <w:rPr>
                <w:sz w:val="18"/>
              </w:rPr>
              <w:t>Parts 3, 4, 11 and 14</w:t>
            </w:r>
          </w:p>
        </w:tc>
        <w:tc>
          <w:tcPr>
            <w:tcW w:type="dxa" w:w="1864"/>
            <w:shd w:val="clear" w:color="auto" w:fill="F3F6FA"/>
          </w:tcPr>
          <w:p>
            <w:pPr>
              <w:spacing w:after="0" w:line="240" w:lineRule="auto"/>
            </w:pPr>
            <w:r>
              <w:rPr>
                <w:sz w:val="18"/>
              </w:rPr>
              <w:t>Steps 1, 3, 6</w:t>
            </w:r>
          </w:p>
        </w:tc>
      </w:tr>
      <w:tr>
        <w:trPr>
          <w:cantSplit/>
        </w:trPr>
        <w:tc>
          <w:tcPr>
            <w:tcW w:type="dxa" w:w="4045"/>
          </w:tcPr>
          <w:p>
            <w:pPr>
              <w:spacing w:after="0" w:line="240" w:lineRule="auto"/>
            </w:pPr>
            <w:r>
              <w:rPr>
                <w:sz w:val="18"/>
              </w:rPr>
              <w:t>Powerscreen / 10 Trumps</w:t>
            </w:r>
          </w:p>
        </w:tc>
        <w:tc>
          <w:tcPr>
            <w:tcW w:type="dxa" w:w="3120"/>
          </w:tcPr>
          <w:p>
            <w:pPr>
              <w:spacing w:after="0" w:line="240" w:lineRule="auto"/>
            </w:pPr>
            <w:r>
              <w:rPr>
                <w:sz w:val="18"/>
              </w:rPr>
              <w:t>Parts 5, 14 and 16</w:t>
            </w:r>
          </w:p>
        </w:tc>
        <w:tc>
          <w:tcPr>
            <w:tcW w:type="dxa" w:w="1864"/>
          </w:tcPr>
          <w:p>
            <w:pPr>
              <w:spacing w:after="0" w:line="240" w:lineRule="auto"/>
            </w:pPr>
            <w:r>
              <w:rPr>
                <w:sz w:val="18"/>
              </w:rPr>
              <w:t>Prep checklist</w:t>
            </w:r>
          </w:p>
        </w:tc>
      </w:tr>
      <w:tr>
        <w:trPr>
          <w:cantSplit/>
        </w:trPr>
        <w:tc>
          <w:tcPr>
            <w:tcW w:type="dxa" w:w="4045"/>
            <w:shd w:val="clear" w:color="auto" w:fill="F3F6FA"/>
          </w:tcPr>
          <w:p>
            <w:pPr>
              <w:spacing w:after="0" w:line="240" w:lineRule="auto"/>
            </w:pPr>
            <w:r>
              <w:rPr>
                <w:sz w:val="18"/>
              </w:rPr>
              <w:t>Influencing strategies</w:t>
            </w:r>
          </w:p>
        </w:tc>
        <w:tc>
          <w:tcPr>
            <w:tcW w:type="dxa" w:w="3120"/>
            <w:shd w:val="clear" w:color="auto" w:fill="F3F6FA"/>
          </w:tcPr>
          <w:p>
            <w:pPr>
              <w:spacing w:after="0" w:line="240" w:lineRule="auto"/>
            </w:pPr>
            <w:r>
              <w:rPr>
                <w:sz w:val="18"/>
              </w:rPr>
              <w:t>Parts 6, 7 and 14</w:t>
            </w:r>
          </w:p>
        </w:tc>
        <w:tc>
          <w:tcPr>
            <w:tcW w:type="dxa" w:w="1864"/>
            <w:shd w:val="clear" w:color="auto" w:fill="F3F6FA"/>
          </w:tcPr>
          <w:p>
            <w:pPr>
              <w:spacing w:after="0" w:line="240" w:lineRule="auto"/>
            </w:pPr>
            <w:r>
              <w:rPr>
                <w:sz w:val="18"/>
              </w:rPr>
              <w:t>Steps 2, 4</w:t>
            </w:r>
          </w:p>
        </w:tc>
      </w:tr>
      <w:tr>
        <w:trPr>
          <w:cantSplit/>
        </w:trPr>
        <w:tc>
          <w:tcPr>
            <w:tcW w:type="dxa" w:w="4045"/>
          </w:tcPr>
          <w:p>
            <w:pPr>
              <w:spacing w:after="0" w:line="240" w:lineRule="auto"/>
            </w:pPr>
            <w:r>
              <w:rPr>
                <w:sz w:val="18"/>
              </w:rPr>
              <w:t>Chestnut Village</w:t>
            </w:r>
          </w:p>
        </w:tc>
        <w:tc>
          <w:tcPr>
            <w:tcW w:type="dxa" w:w="3120"/>
          </w:tcPr>
          <w:p>
            <w:pPr>
              <w:spacing w:after="0" w:line="240" w:lineRule="auto"/>
            </w:pPr>
            <w:r>
              <w:rPr>
                <w:sz w:val="18"/>
              </w:rPr>
              <w:t>Parts 9 and 14</w:t>
            </w:r>
          </w:p>
        </w:tc>
        <w:tc>
          <w:tcPr>
            <w:tcW w:type="dxa" w:w="1864"/>
          </w:tcPr>
          <w:p>
            <w:pPr>
              <w:spacing w:after="0" w:line="240" w:lineRule="auto"/>
            </w:pPr>
            <w:r>
              <w:rPr>
                <w:sz w:val="18"/>
              </w:rPr>
              <w:t>Step 5</w:t>
            </w:r>
          </w:p>
        </w:tc>
      </w:tr>
      <w:tr>
        <w:trPr>
          <w:cantSplit/>
        </w:trPr>
        <w:tc>
          <w:tcPr>
            <w:tcW w:type="dxa" w:w="4045"/>
            <w:shd w:val="clear" w:color="auto" w:fill="F3F6FA"/>
          </w:tcPr>
          <w:p>
            <w:pPr>
              <w:spacing w:after="0" w:line="240" w:lineRule="auto"/>
            </w:pPr>
            <w:r>
              <w:rPr>
                <w:sz w:val="18"/>
              </w:rPr>
              <w:t>13 Days / Cuban Missile Crisis</w:t>
            </w:r>
          </w:p>
        </w:tc>
        <w:tc>
          <w:tcPr>
            <w:tcW w:type="dxa" w:w="3120"/>
            <w:shd w:val="clear" w:color="auto" w:fill="F3F6FA"/>
          </w:tcPr>
          <w:p>
            <w:pPr>
              <w:spacing w:after="0" w:line="240" w:lineRule="auto"/>
            </w:pPr>
            <w:r>
              <w:rPr>
                <w:sz w:val="18"/>
              </w:rPr>
              <w:t>Parts 8, 12 and 14</w:t>
            </w:r>
          </w:p>
        </w:tc>
        <w:tc>
          <w:tcPr>
            <w:tcW w:type="dxa" w:w="1864"/>
            <w:shd w:val="clear" w:color="auto" w:fill="F3F6FA"/>
          </w:tcPr>
          <w:p>
            <w:pPr>
              <w:spacing w:after="0" w:line="240" w:lineRule="auto"/>
            </w:pPr>
            <w:r>
              <w:rPr>
                <w:sz w:val="18"/>
              </w:rPr>
              <w:t>Steps 4, 5</w:t>
            </w:r>
          </w:p>
        </w:tc>
      </w:tr>
      <w:tr>
        <w:trPr>
          <w:cantSplit/>
        </w:trPr>
        <w:tc>
          <w:tcPr>
            <w:tcW w:type="dxa" w:w="4045"/>
          </w:tcPr>
          <w:p>
            <w:pPr>
              <w:spacing w:after="0" w:line="240" w:lineRule="auto"/>
            </w:pPr>
            <w:r>
              <w:rPr>
                <w:sz w:val="18"/>
              </w:rPr>
              <w:t>Barnga</w:t>
            </w:r>
          </w:p>
        </w:tc>
        <w:tc>
          <w:tcPr>
            <w:tcW w:type="dxa" w:w="3120"/>
          </w:tcPr>
          <w:p>
            <w:pPr>
              <w:spacing w:after="0" w:line="240" w:lineRule="auto"/>
            </w:pPr>
            <w:r>
              <w:rPr>
                <w:sz w:val="18"/>
              </w:rPr>
              <w:t>Parts 13-14</w:t>
            </w:r>
          </w:p>
        </w:tc>
        <w:tc>
          <w:tcPr>
            <w:tcW w:type="dxa" w:w="1864"/>
          </w:tcPr>
          <w:p>
            <w:pPr>
              <w:spacing w:after="0" w:line="240" w:lineRule="auto"/>
            </w:pPr>
            <w:r>
              <w:rPr>
                <w:sz w:val="18"/>
              </w:rPr>
              <w:t>-</w:t>
            </w:r>
          </w:p>
        </w:tc>
      </w:tr>
      <w:tr>
        <w:trPr>
          <w:cantSplit/>
        </w:trPr>
        <w:tc>
          <w:tcPr>
            <w:tcW w:type="dxa" w:w="4045"/>
            <w:shd w:val="clear" w:color="auto" w:fill="F3F6FA"/>
          </w:tcPr>
          <w:p>
            <w:pPr>
              <w:spacing w:after="0" w:line="240" w:lineRule="auto"/>
            </w:pPr>
            <w:r>
              <w:rPr>
                <w:sz w:val="18"/>
              </w:rPr>
              <w:t>Alpha-Beta</w:t>
            </w:r>
          </w:p>
        </w:tc>
        <w:tc>
          <w:tcPr>
            <w:tcW w:type="dxa" w:w="3120"/>
            <w:shd w:val="clear" w:color="auto" w:fill="F3F6FA"/>
          </w:tcPr>
          <w:p>
            <w:pPr>
              <w:spacing w:after="0" w:line="240" w:lineRule="auto"/>
            </w:pPr>
            <w:r>
              <w:rPr>
                <w:sz w:val="18"/>
              </w:rPr>
              <w:t>Parts 13-14</w:t>
            </w:r>
          </w:p>
        </w:tc>
        <w:tc>
          <w:tcPr>
            <w:tcW w:type="dxa" w:w="1864"/>
            <w:shd w:val="clear" w:color="auto" w:fill="F3F6FA"/>
          </w:tcPr>
          <w:p>
            <w:pPr>
              <w:spacing w:after="0" w:line="240" w:lineRule="auto"/>
            </w:pPr>
            <w:r>
              <w:rPr>
                <w:sz w:val="18"/>
              </w:rPr>
              <w:t>-</w:t>
            </w:r>
          </w:p>
        </w:tc>
      </w:tr>
      <w:tr>
        <w:trPr>
          <w:cantSplit/>
        </w:trPr>
        <w:tc>
          <w:tcPr>
            <w:tcW w:type="dxa" w:w="4045"/>
          </w:tcPr>
          <w:p>
            <w:pPr>
              <w:spacing w:after="0" w:line="240" w:lineRule="auto"/>
            </w:pPr>
            <w:r>
              <w:rPr>
                <w:sz w:val="18"/>
              </w:rPr>
              <w:t>Mouse</w:t>
            </w:r>
          </w:p>
        </w:tc>
        <w:tc>
          <w:tcPr>
            <w:tcW w:type="dxa" w:w="3120"/>
          </w:tcPr>
          <w:p>
            <w:pPr>
              <w:spacing w:after="0" w:line="240" w:lineRule="auto"/>
            </w:pPr>
            <w:r>
              <w:rPr>
                <w:sz w:val="18"/>
              </w:rPr>
              <w:t>Parts 13-14</w:t>
            </w:r>
          </w:p>
        </w:tc>
        <w:tc>
          <w:tcPr>
            <w:tcW w:type="dxa" w:w="1864"/>
          </w:tcPr>
          <w:p>
            <w:pPr>
              <w:spacing w:after="0" w:line="240" w:lineRule="auto"/>
            </w:pPr>
            <w:r>
              <w:rPr>
                <w:sz w:val="18"/>
              </w:rPr>
              <w:t>-</w:t>
            </w:r>
          </w:p>
        </w:tc>
      </w:tr>
      <w:tr>
        <w:trPr>
          <w:cantSplit/>
        </w:trPr>
        <w:tc>
          <w:tcPr>
            <w:tcW w:type="dxa" w:w="4045"/>
            <w:shd w:val="clear" w:color="auto" w:fill="F3F6FA"/>
          </w:tcPr>
          <w:p>
            <w:pPr>
              <w:spacing w:after="0" w:line="240" w:lineRule="auto"/>
            </w:pPr>
            <w:r>
              <w:rPr>
                <w:sz w:val="18"/>
              </w:rPr>
              <w:t>Chinese Dining Table</w:t>
            </w:r>
          </w:p>
        </w:tc>
        <w:tc>
          <w:tcPr>
            <w:tcW w:type="dxa" w:w="3120"/>
            <w:shd w:val="clear" w:color="auto" w:fill="F3F6FA"/>
          </w:tcPr>
          <w:p>
            <w:pPr>
              <w:spacing w:after="0" w:line="240" w:lineRule="auto"/>
            </w:pPr>
            <w:r>
              <w:rPr>
                <w:sz w:val="18"/>
              </w:rPr>
              <w:t>Parts 13-14</w:t>
            </w:r>
          </w:p>
        </w:tc>
        <w:tc>
          <w:tcPr>
            <w:tcW w:type="dxa" w:w="1864"/>
            <w:shd w:val="clear" w:color="auto" w:fill="F3F6FA"/>
          </w:tcPr>
          <w:p>
            <w:pPr>
              <w:spacing w:after="0" w:line="240" w:lineRule="auto"/>
            </w:pPr>
            <w:r>
              <w:rPr>
                <w:sz w:val="18"/>
              </w:rPr>
              <w:t>Seller profile (face)</w:t>
            </w:r>
          </w:p>
        </w:tc>
      </w:tr>
      <w:tr>
        <w:trPr>
          <w:cantSplit/>
        </w:trPr>
        <w:tc>
          <w:tcPr>
            <w:tcW w:type="dxa" w:w="4045"/>
          </w:tcPr>
          <w:p>
            <w:pPr>
              <w:spacing w:after="0" w:line="240" w:lineRule="auto"/>
            </w:pPr>
            <w:r>
              <w:rPr>
                <w:sz w:val="18"/>
              </w:rPr>
              <w:t>36 Stratagems</w:t>
            </w:r>
          </w:p>
        </w:tc>
        <w:tc>
          <w:tcPr>
            <w:tcW w:type="dxa" w:w="3120"/>
          </w:tcPr>
          <w:p>
            <w:pPr>
              <w:spacing w:after="0" w:line="240" w:lineRule="auto"/>
            </w:pPr>
            <w:r>
              <w:rPr>
                <w:sz w:val="18"/>
              </w:rPr>
              <w:t>Parts 13-14</w:t>
            </w:r>
          </w:p>
        </w:tc>
        <w:tc>
          <w:tcPr>
            <w:tcW w:type="dxa" w:w="1864"/>
          </w:tcPr>
          <w:p>
            <w:pPr>
              <w:spacing w:after="0" w:line="240" w:lineRule="auto"/>
            </w:pPr>
            <w:r>
              <w:rPr>
                <w:sz w:val="18"/>
              </w:rPr>
              <w:t>-</w:t>
            </w:r>
          </w:p>
        </w:tc>
      </w:tr>
      <w:tr>
        <w:trPr>
          <w:cantSplit/>
        </w:trPr>
        <w:tc>
          <w:tcPr>
            <w:tcW w:type="dxa" w:w="4045"/>
            <w:shd w:val="clear" w:color="auto" w:fill="F3F6FA"/>
          </w:tcPr>
          <w:p>
            <w:pPr>
              <w:spacing w:after="0" w:line="240" w:lineRule="auto"/>
            </w:pPr>
            <w:r>
              <w:rPr>
                <w:sz w:val="18"/>
              </w:rPr>
              <w:t>Negotiating Business Deals in China</w:t>
            </w:r>
          </w:p>
        </w:tc>
        <w:tc>
          <w:tcPr>
            <w:tcW w:type="dxa" w:w="3120"/>
            <w:shd w:val="clear" w:color="auto" w:fill="F3F6FA"/>
          </w:tcPr>
          <w:p>
            <w:pPr>
              <w:spacing w:after="0" w:line="240" w:lineRule="auto"/>
            </w:pPr>
            <w:r>
              <w:rPr>
                <w:sz w:val="18"/>
              </w:rPr>
              <w:t>Parts 13-14</w:t>
            </w:r>
          </w:p>
        </w:tc>
        <w:tc>
          <w:tcPr>
            <w:tcW w:type="dxa" w:w="1864"/>
            <w:shd w:val="clear" w:color="auto" w:fill="F3F6FA"/>
          </w:tcPr>
          <w:p>
            <w:pPr>
              <w:spacing w:after="0" w:line="240" w:lineRule="auto"/>
            </w:pPr>
            <w:r>
              <w:rPr>
                <w:sz w:val="18"/>
              </w:rPr>
              <w:t>Seller profile (face)</w:t>
            </w:r>
          </w:p>
        </w:tc>
      </w:tr>
      <w:tr>
        <w:trPr>
          <w:cantSplit/>
        </w:trPr>
        <w:tc>
          <w:tcPr>
            <w:tcW w:type="dxa" w:w="4045"/>
          </w:tcPr>
          <w:p>
            <w:pPr>
              <w:spacing w:after="0" w:line="240" w:lineRule="auto"/>
            </w:pPr>
            <w:r>
              <w:rPr>
                <w:sz w:val="18"/>
              </w:rPr>
              <w:t>BATNA / target / reservation / anchor</w:t>
            </w:r>
          </w:p>
        </w:tc>
        <w:tc>
          <w:tcPr>
            <w:tcW w:type="dxa" w:w="3120"/>
          </w:tcPr>
          <w:p>
            <w:pPr>
              <w:spacing w:after="0" w:line="240" w:lineRule="auto"/>
            </w:pPr>
            <w:r>
              <w:rPr>
                <w:sz w:val="18"/>
              </w:rPr>
              <w:t>Parts 3, 10-11</w:t>
            </w:r>
          </w:p>
        </w:tc>
        <w:tc>
          <w:tcPr>
            <w:tcW w:type="dxa" w:w="1864"/>
          </w:tcPr>
          <w:p>
            <w:pPr>
              <w:spacing w:after="0" w:line="240" w:lineRule="auto"/>
            </w:pPr>
            <w:r>
              <w:rPr>
                <w:sz w:val="18"/>
              </w:rPr>
              <w:t>Steps 1, 6</w:t>
            </w:r>
          </w:p>
        </w:tc>
      </w:tr>
      <w:tr>
        <w:trPr>
          <w:cantSplit/>
        </w:trPr>
        <w:tc>
          <w:tcPr>
            <w:tcW w:type="dxa" w:w="4045"/>
            <w:shd w:val="clear" w:color="auto" w:fill="F3F6FA"/>
          </w:tcPr>
          <w:p>
            <w:pPr>
              <w:spacing w:after="0" w:line="240" w:lineRule="auto"/>
            </w:pPr>
            <w:r>
              <w:rPr>
                <w:sz w:val="18"/>
              </w:rPr>
              <w:t>Break-Link-Overlap / package deals</w:t>
            </w:r>
          </w:p>
        </w:tc>
        <w:tc>
          <w:tcPr>
            <w:tcW w:type="dxa" w:w="3120"/>
            <w:shd w:val="clear" w:color="auto" w:fill="F3F6FA"/>
          </w:tcPr>
          <w:p>
            <w:pPr>
              <w:spacing w:after="0" w:line="240" w:lineRule="auto"/>
            </w:pPr>
            <w:r>
              <w:rPr>
                <w:sz w:val="18"/>
              </w:rPr>
              <w:t>Parts 4 and 11</w:t>
            </w:r>
          </w:p>
        </w:tc>
        <w:tc>
          <w:tcPr>
            <w:tcW w:type="dxa" w:w="1864"/>
            <w:shd w:val="clear" w:color="auto" w:fill="F3F6FA"/>
          </w:tcPr>
          <w:p>
            <w:pPr>
              <w:spacing w:after="0" w:line="240" w:lineRule="auto"/>
            </w:pPr>
            <w:r>
              <w:rPr>
                <w:sz w:val="18"/>
              </w:rPr>
              <w:t>Steps 3, 6</w:t>
            </w:r>
          </w:p>
        </w:tc>
      </w:tr>
      <w:tr>
        <w:trPr>
          <w:cantSplit/>
        </w:trPr>
        <w:tc>
          <w:tcPr>
            <w:tcW w:type="dxa" w:w="4045"/>
          </w:tcPr>
          <w:p>
            <w:pPr>
              <w:spacing w:after="0" w:line="240" w:lineRule="auto"/>
            </w:pPr>
            <w:r>
              <w:rPr>
                <w:sz w:val="18"/>
              </w:rPr>
              <w:t>Active listening / speaking</w:t>
            </w:r>
          </w:p>
        </w:tc>
        <w:tc>
          <w:tcPr>
            <w:tcW w:type="dxa" w:w="3120"/>
          </w:tcPr>
          <w:p>
            <w:pPr>
              <w:spacing w:after="0" w:line="240" w:lineRule="auto"/>
            </w:pPr>
            <w:r>
              <w:rPr>
                <w:sz w:val="18"/>
              </w:rPr>
              <w:t>Parts 6-7</w:t>
            </w:r>
          </w:p>
        </w:tc>
        <w:tc>
          <w:tcPr>
            <w:tcW w:type="dxa" w:w="1864"/>
          </w:tcPr>
          <w:p>
            <w:pPr>
              <w:spacing w:after="0" w:line="240" w:lineRule="auto"/>
            </w:pPr>
            <w:r>
              <w:rPr>
                <w:sz w:val="18"/>
              </w:rPr>
              <w:t>Steps 2, 4</w:t>
            </w:r>
          </w:p>
        </w:tc>
      </w:tr>
      <w:tr>
        <w:trPr>
          <w:cantSplit/>
        </w:trPr>
        <w:tc>
          <w:tcPr>
            <w:tcW w:type="dxa" w:w="4045"/>
            <w:shd w:val="clear" w:color="auto" w:fill="F3F6FA"/>
          </w:tcPr>
          <w:p>
            <w:pPr>
              <w:spacing w:after="0" w:line="240" w:lineRule="auto"/>
            </w:pPr>
            <w:r>
              <w:rPr>
                <w:sz w:val="18"/>
              </w:rPr>
              <w:t>Multiparty process</w:t>
            </w:r>
          </w:p>
        </w:tc>
        <w:tc>
          <w:tcPr>
            <w:tcW w:type="dxa" w:w="3120"/>
            <w:shd w:val="clear" w:color="auto" w:fill="F3F6FA"/>
          </w:tcPr>
          <w:p>
            <w:pPr>
              <w:spacing w:after="0" w:line="240" w:lineRule="auto"/>
            </w:pPr>
            <w:r>
              <w:rPr>
                <w:sz w:val="18"/>
              </w:rPr>
              <w:t>Parts 8-9</w:t>
            </w:r>
          </w:p>
        </w:tc>
        <w:tc>
          <w:tcPr>
            <w:tcW w:type="dxa" w:w="1864"/>
            <w:shd w:val="clear" w:color="auto" w:fill="F3F6FA"/>
          </w:tcPr>
          <w:p>
            <w:pPr>
              <w:spacing w:after="0" w:line="240" w:lineRule="auto"/>
            </w:pPr>
            <w:r>
              <w:rPr>
                <w:sz w:val="18"/>
              </w:rPr>
              <w:t>Step 5</w:t>
            </w:r>
          </w:p>
        </w:tc>
      </w:tr>
      <w:tr>
        <w:trPr>
          <w:cantSplit/>
        </w:trPr>
        <w:tc>
          <w:tcPr>
            <w:tcW w:type="dxa" w:w="4045"/>
          </w:tcPr>
          <w:p>
            <w:pPr>
              <w:spacing w:after="0" w:line="240" w:lineRule="auto"/>
            </w:pPr>
            <w:r>
              <w:rPr>
                <w:sz w:val="18"/>
              </w:rPr>
              <w:t>Outside reading (Lempereur &amp; Colson; Fisher, Ury &amp; Patton; Malhotra &amp; Bazerman)</w:t>
            </w:r>
          </w:p>
        </w:tc>
        <w:tc>
          <w:tcPr>
            <w:tcW w:type="dxa" w:w="3120"/>
          </w:tcPr>
          <w:p>
            <w:pPr>
              <w:spacing w:after="0" w:line="240" w:lineRule="auto"/>
            </w:pPr>
            <w:r>
              <w:rPr>
                <w:sz w:val="18"/>
              </w:rPr>
              <w:t>Parts 1, 3-7, 9-12; Learning Beyond Class</w:t>
            </w:r>
          </w:p>
        </w:tc>
        <w:tc>
          <w:tcPr>
            <w:tcW w:type="dxa" w:w="1864"/>
          </w:tcPr>
          <w:p>
            <w:pPr>
              <w:spacing w:after="0" w:line="240" w:lineRule="auto"/>
            </w:pPr>
            <w:r>
              <w:rPr>
                <w:sz w:val="18"/>
              </w:rPr>
              <w:t>All steps</w:t>
            </w:r>
          </w:p>
        </w:tc>
      </w:tr>
      <w:tr>
        <w:trPr>
          <w:cantSplit/>
        </w:trPr>
        <w:tc>
          <w:tcPr>
            <w:tcW w:type="dxa" w:w="4045"/>
            <w:shd w:val="clear" w:color="auto" w:fill="F3F6FA"/>
          </w:tcPr>
          <w:p>
            <w:pPr>
              <w:spacing w:after="0" w:line="240" w:lineRule="auto"/>
            </w:pPr>
            <w:r>
              <w:rPr>
                <w:sz w:val="18"/>
              </w:rPr>
              <w:t>Interactive learning website</w:t>
            </w:r>
          </w:p>
        </w:tc>
        <w:tc>
          <w:tcPr>
            <w:tcW w:type="dxa" w:w="3120"/>
            <w:shd w:val="clear" w:color="auto" w:fill="F3F6FA"/>
          </w:tcPr>
          <w:p>
            <w:pPr>
              <w:spacing w:after="0" w:line="240" w:lineRule="auto"/>
            </w:pPr>
            <w:r>
              <w:rPr>
                <w:sz w:val="18"/>
              </w:rPr>
              <w:t>Companion Lab section; Parts 7, 16, 17; Appendices</w:t>
            </w:r>
          </w:p>
        </w:tc>
        <w:tc>
          <w:tcPr>
            <w:tcW w:type="dxa" w:w="1864"/>
            <w:shd w:val="clear" w:color="auto" w:fill="F3F6FA"/>
          </w:tcPr>
          <w:p>
            <w:pPr>
              <w:spacing w:after="0" w:line="240" w:lineRule="auto"/>
            </w:pPr>
            <w:r>
              <w:rPr>
                <w:sz w:val="18"/>
              </w:rPr>
              <w:t>All steps</w:t>
            </w:r>
          </w:p>
        </w:tc>
      </w:tr>
    </w:tbl>
    <w:p>
      <w:pPr>
        <w:spacing w:after="0" w:line="144" w:lineRule="auto"/>
      </w:pPr>
      <w:r>
        <w:rPr>
          <w:sz w:val="8"/>
        </w:rPr>
        <w:t xml:space="preserve"> </w:t>
      </w:r>
    </w:p>
    <w:p>
      <w:pPr>
        <w:pStyle w:val="Heading1"/>
        <w:pageBreakBefore/>
      </w:pPr>
      <w:r>
        <w:t>Appendix A – Lab Debrief Paste Area</w:t>
      </w:r>
    </w:p>
    <w:p>
      <w:r>
        <w:t>Paste the block produced by the lab’s “Copy debrief” button below, once after Run 1 (after Parts 3-7) and once after Run 2 (after Part 16). I have left these boxes empty deliberately: I record only runs I have actually completed.</w:t>
      </w:r>
    </w:p>
    <w:tbl>
      <w:tblPr>
        <w:tblStyle w:val="TableGrid"/>
        <w:tblW w:type="auto" w:w="0"/>
        <w:jc w:val="center"/>
        <w:tblLook w:firstColumn="1" w:firstRow="1" w:lastColumn="0" w:lastRow="0" w:noHBand="0" w:noVBand="1" w:val="04A0"/>
      </w:tblPr>
      <w:tblGrid>
        <w:gridCol w:w="9029"/>
      </w:tblGrid>
      <w:tr>
        <w:trPr>
          <w:trHeight w:val="2592" w:hRule="atLeast"/>
        </w:trPr>
        <w:tc>
          <w:tcPr>
            <w:tcW w:type="dxa" w:w="9029"/>
            <w:shd w:val="clear" w:color="auto" w:fill="FAFAFA"/>
            <w:vAlign w:val="center"/>
          </w:tcPr>
          <w:p>
            <w:pPr>
              <w:jc w:val="center"/>
            </w:pPr>
            <w:r>
              <w:rPr>
                <w:i/>
                <w:color w:val="65758B"/>
              </w:rPr>
              <w:t>Run 1 debrief - paste here</w:t>
            </w:r>
          </w:p>
        </w:tc>
      </w:tr>
    </w:tbl>
    <w:p>
      <w:pPr>
        <w:spacing w:after="40"/>
      </w:pPr>
    </w:p>
    <w:tbl>
      <w:tblPr>
        <w:tblStyle w:val="TableGrid"/>
        <w:tblW w:type="auto" w:w="0"/>
        <w:jc w:val="center"/>
        <w:tblLook w:firstColumn="1" w:firstRow="1" w:lastColumn="0" w:lastRow="0" w:noHBand="0" w:noVBand="1" w:val="04A0"/>
      </w:tblPr>
      <w:tblGrid>
        <w:gridCol w:w="9029"/>
      </w:tblGrid>
      <w:tr>
        <w:trPr>
          <w:trHeight w:val="2592" w:hRule="atLeast"/>
        </w:trPr>
        <w:tc>
          <w:tcPr>
            <w:tcW w:type="dxa" w:w="9029"/>
            <w:shd w:val="clear" w:color="auto" w:fill="FAFAFA"/>
            <w:vAlign w:val="center"/>
          </w:tcPr>
          <w:p>
            <w:pPr>
              <w:jc w:val="center"/>
            </w:pPr>
            <w:r>
              <w:rPr>
                <w:i/>
                <w:color w:val="65758B"/>
              </w:rPr>
              <w:t>Run 2 debrief - paste here</w:t>
            </w:r>
          </w:p>
        </w:tc>
      </w:tr>
    </w:tbl>
    <w:p>
      <w:pPr>
        <w:spacing w:after="40"/>
      </w:pPr>
    </w:p>
    <w:p>
      <w:pPr>
        <w:pStyle w:val="Heading1"/>
        <w:pageBreakBefore/>
      </w:pPr>
      <w:r>
        <w:t>Appendix B – Lab Run Log (template)</w:t>
      </w:r>
    </w:p>
    <w:p>
      <w:r>
        <w:t>For each run, record the details below. The point is not the score but the reasoning: which path tags appeared, which dimension was weakest, and what that says about my habits.</w:t>
      </w:r>
    </w:p>
    <w:p>
      <w:pPr>
        <w:keepNext/>
        <w:spacing w:before="120" w:after="60"/>
      </w:pPr>
      <w:r>
        <w:rPr>
          <w:b/>
          <w:color w:val="173B67"/>
          <w:sz w:val="20"/>
        </w:rPr>
        <w:t>Table 15. Lab run log</w:t>
      </w:r>
    </w:p>
    <w:tbl>
      <w:tblPr>
        <w:tblStyle w:val="TableGrid"/>
        <w:tblW w:type="auto" w:w="0"/>
        <w:jc w:val="center"/>
        <w:tblLook w:firstColumn="1" w:firstRow="1" w:lastColumn="0" w:lastRow="0" w:noHBand="0" w:noVBand="1" w:val="04A0"/>
        <w:tblLayout w:type="fixed"/>
      </w:tblPr>
      <w:tblGrid>
        <w:gridCol w:w="2880"/>
        <w:gridCol w:w="3067"/>
        <w:gridCol w:w="3081"/>
      </w:tblGrid>
      <w:tr>
        <w:trPr>
          <w:cantSplit/>
          <w:tblHeader w:val="true"/>
        </w:trPr>
        <w:tc>
          <w:tcPr>
            <w:tcW w:type="dxa" w:w="2880"/>
            <w:shd w:val="clear" w:color="auto" w:fill="173B67"/>
          </w:tcPr>
          <w:p>
            <w:pPr>
              <w:spacing w:after="0" w:line="240" w:lineRule="auto"/>
            </w:pPr>
            <w:r>
              <w:rPr>
                <w:b/>
                <w:color w:val="FFFFFF"/>
                <w:sz w:val="18"/>
              </w:rPr>
              <w:t>Field</w:t>
            </w:r>
          </w:p>
        </w:tc>
        <w:tc>
          <w:tcPr>
            <w:tcW w:type="dxa" w:w="3067"/>
            <w:shd w:val="clear" w:color="auto" w:fill="173B67"/>
          </w:tcPr>
          <w:p>
            <w:pPr>
              <w:spacing w:after="0" w:line="240" w:lineRule="auto"/>
            </w:pPr>
            <w:r>
              <w:rPr>
                <w:b/>
                <w:color w:val="FFFFFF"/>
                <w:sz w:val="18"/>
              </w:rPr>
              <w:t>Run 1 (after Parts 3-7)</w:t>
            </w:r>
          </w:p>
        </w:tc>
        <w:tc>
          <w:tcPr>
            <w:tcW w:type="dxa" w:w="3082"/>
            <w:shd w:val="clear" w:color="auto" w:fill="173B67"/>
          </w:tcPr>
          <w:p>
            <w:pPr>
              <w:spacing w:after="0" w:line="240" w:lineRule="auto"/>
            </w:pPr>
            <w:r>
              <w:rPr>
                <w:b/>
                <w:color w:val="FFFFFF"/>
                <w:sz w:val="18"/>
              </w:rPr>
              <w:t>Run 2 (after Part 16)</w:t>
            </w:r>
          </w:p>
        </w:tc>
      </w:tr>
      <w:tr>
        <w:trPr>
          <w:cantSplit/>
          <w:trHeight w:val="720" w:hRule="atLeast"/>
        </w:trPr>
        <w:tc>
          <w:tcPr>
            <w:tcW w:type="dxa" w:w="2880"/>
          </w:tcPr>
          <w:p>
            <w:pPr>
              <w:spacing w:after="0" w:line="240" w:lineRule="auto"/>
            </w:pPr>
            <w:r>
              <w:rPr>
                <w:sz w:val="18"/>
              </w:rPr>
              <w:t>Date and time</w:t>
            </w:r>
          </w:p>
        </w:tc>
        <w:tc>
          <w:tcPr>
            <w:tcW w:type="dxa" w:w="3067"/>
          </w:tcPr>
          <w:p>
            <w:pPr>
              <w:spacing w:after="0" w:line="240" w:lineRule="auto"/>
            </w:pPr>
            <w:r>
              <w:rPr>
                <w:sz w:val="18"/>
              </w:rPr>
              <w:t>|</w:t>
            </w:r>
          </w:p>
        </w:tc>
        <w:tc>
          <w:tcPr>
            <w:tcW w:type="dxa" w:w="3082"/>
          </w:tcPr>
          <w:p>
            <w:pPr>
              <w:spacing w:after="0" w:line="240" w:lineRule="auto"/>
            </w:pPr>
          </w:p>
        </w:tc>
      </w:tr>
      <w:tr>
        <w:trPr>
          <w:cantSplit/>
          <w:trHeight w:val="720" w:hRule="atLeast"/>
        </w:trPr>
        <w:tc>
          <w:tcPr>
            <w:tcW w:type="dxa" w:w="2880"/>
            <w:shd w:val="clear" w:color="auto" w:fill="F3F6FA"/>
          </w:tcPr>
          <w:p>
            <w:pPr>
              <w:spacing w:after="0" w:line="240" w:lineRule="auto"/>
            </w:pPr>
            <w:r>
              <w:rPr>
                <w:sz w:val="18"/>
              </w:rPr>
              <w:t>Seller profile assigned</w:t>
            </w:r>
          </w:p>
        </w:tc>
        <w:tc>
          <w:tcPr>
            <w:tcW w:type="dxa" w:w="3067"/>
            <w:shd w:val="clear" w:color="auto" w:fill="F3F6FA"/>
          </w:tcPr>
          <w:p>
            <w:pPr>
              <w:spacing w:after="0" w:line="240" w:lineRule="auto"/>
            </w:pPr>
            <w:r>
              <w:rPr>
                <w:sz w:val="18"/>
              </w:rPr>
              <w:t>|</w:t>
            </w:r>
          </w:p>
        </w:tc>
        <w:tc>
          <w:tcPr>
            <w:tcW w:type="dxa" w:w="3082"/>
            <w:shd w:val="clear" w:color="auto" w:fill="F3F6FA"/>
          </w:tcPr>
          <w:p>
            <w:pPr>
              <w:spacing w:after="0" w:line="240" w:lineRule="auto"/>
            </w:pPr>
          </w:p>
        </w:tc>
      </w:tr>
      <w:tr>
        <w:trPr>
          <w:cantSplit/>
          <w:trHeight w:val="720" w:hRule="atLeast"/>
        </w:trPr>
        <w:tc>
          <w:tcPr>
            <w:tcW w:type="dxa" w:w="2880"/>
          </w:tcPr>
          <w:p>
            <w:pPr>
              <w:spacing w:after="0" w:line="240" w:lineRule="auto"/>
            </w:pPr>
            <w:r>
              <w:rPr>
                <w:sz w:val="18"/>
              </w:rPr>
              <w:t>Prep checklist items ticked (People / Substance / Process)</w:t>
            </w:r>
          </w:p>
        </w:tc>
        <w:tc>
          <w:tcPr>
            <w:tcW w:type="dxa" w:w="3067"/>
          </w:tcPr>
          <w:p>
            <w:pPr>
              <w:spacing w:after="0" w:line="240" w:lineRule="auto"/>
            </w:pPr>
            <w:r>
              <w:rPr>
                <w:sz w:val="18"/>
              </w:rPr>
              <w:t>|</w:t>
            </w:r>
          </w:p>
        </w:tc>
        <w:tc>
          <w:tcPr>
            <w:tcW w:type="dxa" w:w="3082"/>
          </w:tcPr>
          <w:p>
            <w:pPr>
              <w:spacing w:after="0" w:line="240" w:lineRule="auto"/>
            </w:pPr>
          </w:p>
        </w:tc>
      </w:tr>
      <w:tr>
        <w:trPr>
          <w:cantSplit/>
          <w:trHeight w:val="720" w:hRule="atLeast"/>
        </w:trPr>
        <w:tc>
          <w:tcPr>
            <w:tcW w:type="dxa" w:w="2880"/>
            <w:shd w:val="clear" w:color="auto" w:fill="F3F6FA"/>
          </w:tcPr>
          <w:p>
            <w:pPr>
              <w:spacing w:after="0" w:line="240" w:lineRule="auto"/>
            </w:pPr>
            <w:r>
              <w:rPr>
                <w:sz w:val="18"/>
              </w:rPr>
              <w:t>Overall learning score (as shown)</w:t>
            </w:r>
          </w:p>
        </w:tc>
        <w:tc>
          <w:tcPr>
            <w:tcW w:type="dxa" w:w="3067"/>
            <w:shd w:val="clear" w:color="auto" w:fill="F3F6FA"/>
          </w:tcPr>
          <w:p>
            <w:pPr>
              <w:spacing w:after="0" w:line="240" w:lineRule="auto"/>
            </w:pPr>
            <w:r>
              <w:rPr>
                <w:sz w:val="18"/>
              </w:rPr>
              <w:t>|</w:t>
            </w:r>
          </w:p>
        </w:tc>
        <w:tc>
          <w:tcPr>
            <w:tcW w:type="dxa" w:w="3082"/>
            <w:shd w:val="clear" w:color="auto" w:fill="F3F6FA"/>
          </w:tcPr>
          <w:p>
            <w:pPr>
              <w:spacing w:after="0" w:line="240" w:lineRule="auto"/>
            </w:pPr>
          </w:p>
        </w:tc>
      </w:tr>
      <w:tr>
        <w:trPr>
          <w:cantSplit/>
          <w:trHeight w:val="720" w:hRule="atLeast"/>
        </w:trPr>
        <w:tc>
          <w:tcPr>
            <w:tcW w:type="dxa" w:w="2880"/>
          </w:tcPr>
          <w:p>
            <w:pPr>
              <w:spacing w:after="0" w:line="240" w:lineRule="auto"/>
            </w:pPr>
            <w:r>
              <w:rPr>
                <w:sz w:val="18"/>
              </w:rPr>
              <w:t>People score / 10</w:t>
            </w:r>
          </w:p>
        </w:tc>
        <w:tc>
          <w:tcPr>
            <w:tcW w:type="dxa" w:w="3067"/>
          </w:tcPr>
          <w:p>
            <w:pPr>
              <w:spacing w:after="0" w:line="240" w:lineRule="auto"/>
            </w:pPr>
            <w:r>
              <w:rPr>
                <w:sz w:val="18"/>
              </w:rPr>
              <w:t>|</w:t>
            </w:r>
          </w:p>
        </w:tc>
        <w:tc>
          <w:tcPr>
            <w:tcW w:type="dxa" w:w="3082"/>
          </w:tcPr>
          <w:p>
            <w:pPr>
              <w:spacing w:after="0" w:line="240" w:lineRule="auto"/>
            </w:pPr>
          </w:p>
        </w:tc>
      </w:tr>
      <w:tr>
        <w:trPr>
          <w:cantSplit/>
          <w:trHeight w:val="720" w:hRule="atLeast"/>
        </w:trPr>
        <w:tc>
          <w:tcPr>
            <w:tcW w:type="dxa" w:w="2880"/>
            <w:shd w:val="clear" w:color="auto" w:fill="F3F6FA"/>
          </w:tcPr>
          <w:p>
            <w:pPr>
              <w:spacing w:after="0" w:line="240" w:lineRule="auto"/>
            </w:pPr>
            <w:r>
              <w:rPr>
                <w:sz w:val="18"/>
              </w:rPr>
              <w:t>Substance score / 10</w:t>
            </w:r>
          </w:p>
        </w:tc>
        <w:tc>
          <w:tcPr>
            <w:tcW w:type="dxa" w:w="3067"/>
            <w:shd w:val="clear" w:color="auto" w:fill="F3F6FA"/>
          </w:tcPr>
          <w:p>
            <w:pPr>
              <w:spacing w:after="0" w:line="240" w:lineRule="auto"/>
            </w:pPr>
            <w:r>
              <w:rPr>
                <w:sz w:val="18"/>
              </w:rPr>
              <w:t>|</w:t>
            </w:r>
          </w:p>
        </w:tc>
        <w:tc>
          <w:tcPr>
            <w:tcW w:type="dxa" w:w="3082"/>
            <w:shd w:val="clear" w:color="auto" w:fill="F3F6FA"/>
          </w:tcPr>
          <w:p>
            <w:pPr>
              <w:spacing w:after="0" w:line="240" w:lineRule="auto"/>
            </w:pPr>
          </w:p>
        </w:tc>
      </w:tr>
      <w:tr>
        <w:trPr>
          <w:cantSplit/>
          <w:trHeight w:val="720" w:hRule="atLeast"/>
        </w:trPr>
        <w:tc>
          <w:tcPr>
            <w:tcW w:type="dxa" w:w="2880"/>
          </w:tcPr>
          <w:p>
            <w:pPr>
              <w:spacing w:after="0" w:line="240" w:lineRule="auto"/>
            </w:pPr>
            <w:r>
              <w:rPr>
                <w:sz w:val="18"/>
              </w:rPr>
              <w:t>Process score / 10</w:t>
            </w:r>
          </w:p>
        </w:tc>
        <w:tc>
          <w:tcPr>
            <w:tcW w:type="dxa" w:w="3067"/>
          </w:tcPr>
          <w:p>
            <w:pPr>
              <w:spacing w:after="0" w:line="240" w:lineRule="auto"/>
            </w:pPr>
            <w:r>
              <w:rPr>
                <w:sz w:val="18"/>
              </w:rPr>
              <w:t>|</w:t>
            </w:r>
          </w:p>
        </w:tc>
        <w:tc>
          <w:tcPr>
            <w:tcW w:type="dxa" w:w="3082"/>
          </w:tcPr>
          <w:p>
            <w:pPr>
              <w:spacing w:after="0" w:line="240" w:lineRule="auto"/>
            </w:pPr>
          </w:p>
        </w:tc>
      </w:tr>
      <w:tr>
        <w:trPr>
          <w:cantSplit/>
          <w:trHeight w:val="720" w:hRule="atLeast"/>
        </w:trPr>
        <w:tc>
          <w:tcPr>
            <w:tcW w:type="dxa" w:w="2880"/>
            <w:shd w:val="clear" w:color="auto" w:fill="F3F6FA"/>
          </w:tcPr>
          <w:p>
            <w:pPr>
              <w:spacing w:after="0" w:line="240" w:lineRule="auto"/>
            </w:pPr>
            <w:r>
              <w:rPr>
                <w:sz w:val="18"/>
              </w:rPr>
              <w:t>Path tags (copy from debrief)</w:t>
            </w:r>
          </w:p>
        </w:tc>
        <w:tc>
          <w:tcPr>
            <w:tcW w:type="dxa" w:w="3067"/>
            <w:shd w:val="clear" w:color="auto" w:fill="F3F6FA"/>
          </w:tcPr>
          <w:p>
            <w:pPr>
              <w:spacing w:after="0" w:line="240" w:lineRule="auto"/>
            </w:pPr>
            <w:r>
              <w:rPr>
                <w:sz w:val="18"/>
              </w:rPr>
              <w:t>|</w:t>
            </w:r>
          </w:p>
        </w:tc>
        <w:tc>
          <w:tcPr>
            <w:tcW w:type="dxa" w:w="3082"/>
            <w:shd w:val="clear" w:color="auto" w:fill="F3F6FA"/>
          </w:tcPr>
          <w:p>
            <w:pPr>
              <w:spacing w:after="0" w:line="240" w:lineRule="auto"/>
            </w:pPr>
          </w:p>
        </w:tc>
      </w:tr>
      <w:tr>
        <w:trPr>
          <w:cantSplit/>
          <w:trHeight w:val="720" w:hRule="atLeast"/>
        </w:trPr>
        <w:tc>
          <w:tcPr>
            <w:tcW w:type="dxa" w:w="2880"/>
          </w:tcPr>
          <w:p>
            <w:pPr>
              <w:spacing w:after="0" w:line="240" w:lineRule="auto"/>
            </w:pPr>
            <w:r>
              <w:rPr>
                <w:sz w:val="18"/>
              </w:rPr>
              <w:t>Weakest step and linked Journal Part</w:t>
            </w:r>
          </w:p>
        </w:tc>
        <w:tc>
          <w:tcPr>
            <w:tcW w:type="dxa" w:w="3067"/>
          </w:tcPr>
          <w:p>
            <w:pPr>
              <w:spacing w:after="0" w:line="240" w:lineRule="auto"/>
            </w:pPr>
            <w:r>
              <w:rPr>
                <w:sz w:val="18"/>
              </w:rPr>
              <w:t>|</w:t>
            </w:r>
          </w:p>
        </w:tc>
        <w:tc>
          <w:tcPr>
            <w:tcW w:type="dxa" w:w="3082"/>
          </w:tcPr>
          <w:p>
            <w:pPr>
              <w:spacing w:after="0" w:line="240" w:lineRule="auto"/>
            </w:pPr>
          </w:p>
        </w:tc>
      </w:tr>
      <w:tr>
        <w:trPr>
          <w:cantSplit/>
          <w:trHeight w:val="720" w:hRule="atLeast"/>
        </w:trPr>
        <w:tc>
          <w:tcPr>
            <w:tcW w:type="dxa" w:w="2880"/>
            <w:shd w:val="clear" w:color="auto" w:fill="F3F6FA"/>
          </w:tcPr>
          <w:p>
            <w:pPr>
              <w:spacing w:after="0" w:line="240" w:lineRule="auto"/>
            </w:pPr>
            <w:r>
              <w:rPr>
                <w:sz w:val="18"/>
              </w:rPr>
              <w:t>Rule I most failed to apply</w:t>
            </w:r>
          </w:p>
        </w:tc>
        <w:tc>
          <w:tcPr>
            <w:tcW w:type="dxa" w:w="3067"/>
            <w:shd w:val="clear" w:color="auto" w:fill="F3F6FA"/>
          </w:tcPr>
          <w:p>
            <w:pPr>
              <w:spacing w:after="0" w:line="240" w:lineRule="auto"/>
            </w:pPr>
            <w:r>
              <w:rPr>
                <w:sz w:val="18"/>
              </w:rPr>
              <w:t>|</w:t>
            </w:r>
          </w:p>
        </w:tc>
        <w:tc>
          <w:tcPr>
            <w:tcW w:type="dxa" w:w="3082"/>
            <w:shd w:val="clear" w:color="auto" w:fill="F3F6FA"/>
          </w:tcPr>
          <w:p>
            <w:pPr>
              <w:spacing w:after="0" w:line="240" w:lineRule="auto"/>
            </w:pPr>
          </w:p>
        </w:tc>
      </w:tr>
      <w:tr>
        <w:trPr>
          <w:cantSplit/>
          <w:trHeight w:val="720" w:hRule="atLeast"/>
        </w:trPr>
        <w:tc>
          <w:tcPr>
            <w:tcW w:type="dxa" w:w="2880"/>
          </w:tcPr>
          <w:p>
            <w:pPr>
              <w:spacing w:after="0" w:line="240" w:lineRule="auto"/>
            </w:pPr>
            <w:r>
              <w:rPr>
                <w:sz w:val="18"/>
              </w:rPr>
              <w:t>Reflection (2-3 sentences): what assumption did this run challenge, and what would I change in a real negotiation?</w:t>
            </w:r>
          </w:p>
        </w:tc>
        <w:tc>
          <w:tcPr>
            <w:tcW w:type="dxa" w:w="3067"/>
          </w:tcPr>
          <w:p>
            <w:pPr>
              <w:spacing w:after="0" w:line="240" w:lineRule="auto"/>
            </w:pPr>
            <w:r>
              <w:rPr>
                <w:sz w:val="18"/>
              </w:rPr>
              <w:t>|</w:t>
            </w:r>
          </w:p>
        </w:tc>
        <w:tc>
          <w:tcPr>
            <w:tcW w:type="dxa" w:w="3082"/>
          </w:tcPr>
          <w:p>
            <w:pPr>
              <w:spacing w:after="0" w:line="240" w:lineRule="auto"/>
            </w:pPr>
          </w:p>
        </w:tc>
      </w:tr>
      <w:tr>
        <w:trPr>
          <w:cantSplit/>
          <w:trHeight w:val="720" w:hRule="atLeast"/>
        </w:trPr>
        <w:tc>
          <w:tcPr>
            <w:tcW w:type="dxa" w:w="2880"/>
            <w:shd w:val="clear" w:color="auto" w:fill="F3F6FA"/>
          </w:tcPr>
          <w:p>
            <w:pPr>
              <w:spacing w:after="0" w:line="240" w:lineRule="auto"/>
            </w:pPr>
            <w:r>
              <w:rPr>
                <w:sz w:val="18"/>
              </w:rPr>
              <w:t>Beyond class: which outside reading explains my choice or my mistake?</w:t>
            </w:r>
          </w:p>
        </w:tc>
        <w:tc>
          <w:tcPr>
            <w:tcW w:type="dxa" w:w="3067"/>
            <w:shd w:val="clear" w:color="auto" w:fill="F3F6FA"/>
          </w:tcPr>
          <w:p>
            <w:pPr>
              <w:spacing w:after="0" w:line="240" w:lineRule="auto"/>
            </w:pPr>
            <w:r>
              <w:rPr>
                <w:sz w:val="18"/>
              </w:rPr>
              <w:t>|</w:t>
            </w:r>
          </w:p>
        </w:tc>
        <w:tc>
          <w:tcPr>
            <w:tcW w:type="dxa" w:w="3082"/>
            <w:shd w:val="clear" w:color="auto" w:fill="F3F6FA"/>
          </w:tcPr>
          <w:p>
            <w:pPr>
              <w:spacing w:after="0" w:line="240" w:lineRule="auto"/>
            </w:pPr>
          </w:p>
        </w:tc>
      </w:tr>
      <w:tr>
        <w:trPr>
          <w:cantSplit/>
          <w:trHeight w:val="720" w:hRule="atLeast"/>
        </w:trPr>
        <w:tc>
          <w:tcPr>
            <w:tcW w:type="dxa" w:w="2880"/>
          </w:tcPr>
          <w:p>
            <w:pPr>
              <w:spacing w:after="0" w:line="240" w:lineRule="auto"/>
            </w:pPr>
            <w:r>
              <w:rPr>
                <w:sz w:val="18"/>
              </w:rPr>
              <w:t>What changed between Run 1 and Run 2 (path, not just score)</w:t>
            </w:r>
          </w:p>
        </w:tc>
        <w:tc>
          <w:tcPr>
            <w:tcW w:type="dxa" w:w="3067"/>
          </w:tcPr>
          <w:p>
            <w:pPr>
              <w:spacing w:after="0" w:line="240" w:lineRule="auto"/>
            </w:pPr>
            <w:r>
              <w:rPr>
                <w:sz w:val="18"/>
              </w:rPr>
              <w:t>n/a</w:t>
            </w:r>
          </w:p>
        </w:tc>
        <w:tc>
          <w:tcPr>
            <w:tcW w:type="dxa" w:w="3082"/>
          </w:tcPr>
          <w:p>
            <w:pPr>
              <w:spacing w:after="0" w:line="240" w:lineRule="auto"/>
            </w:pPr>
          </w:p>
        </w:tc>
      </w:tr>
    </w:tbl>
    <w:p>
      <w:pPr>
        <w:spacing w:after="0" w:line="144" w:lineRule="auto"/>
      </w:pPr>
      <w:r>
        <w:rPr>
          <w:sz w:val="8"/>
        </w:rPr>
        <w:t xml:space="preserve"> </w:t>
      </w:r>
    </w:p>
    <w:sectPr w:rsidR="00FC693F" w:rsidRPr="0006063C" w:rsidSect="00034616">
      <w:footerReference w:type="default" r:id="rId13"/>
      <w:pgSz w:w="11909" w:h="16834"/>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BMS5410 Learning Journal – From Price Bargaining to Prepared Adaptability   |   Page </w:t>
    </w:r>
    <w:r>
      <w:rPr>
        <w:sz w:val="17"/>
      </w:rPr>
      <w:fldChar w:fldCharType="begin"/>
    </w:r>
    <w:r>
      <w:rPr>
        <w:sz w:val="17"/>
      </w:rPr>
      <w:instrText xml:space="preserve"> PAGE </w:instrText>
    </w:r>
    <w:r>
      <w:rPr>
        <w:sz w:val="17"/>
      </w:rPr>
      <w:fldChar w:fldCharType="separate"/>
    </w:r>
    <w:r>
      <w:rPr>
        <w:sz w:val="17"/>
      </w:rPr>
      <w:t>1</w:t>
    </w:r>
    <w:r>
      <w:rPr>
        <w:sz w:val="17"/>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before="0"/>
    </w:pPr>
    <w:rPr>
      <w:rFonts w:ascii="Times New Roman" w:hAnsi="Times New Roman" w:cs="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40" w:lineRule="auto"/>
      <w:outlineLvl w:val="0"/>
    </w:pPr>
    <w:rPr>
      <w:rFonts w:ascii="Times New Roman" w:hAnsi="Times New Roman" w:cs="Times New Roman" w:eastAsia="Times New Roman"/>
      <w:b/>
      <w:bCs/>
      <w:color w:val="173B67"/>
      <w:sz w:val="30"/>
      <w:szCs w:val="28"/>
    </w:rPr>
  </w:style>
  <w:style w:type="paragraph" w:styleId="Heading2">
    <w:name w:val="heading 2"/>
    <w:basedOn w:val="Normal"/>
    <w:next w:val="Normal"/>
    <w:link w:val="Heading2Char"/>
    <w:uiPriority w:val="9"/>
    <w:unhideWhenUsed/>
    <w:qFormat/>
    <w:rsid w:val="00FC693F"/>
    <w:pPr>
      <w:keepNext/>
      <w:keepLines/>
      <w:spacing w:before="160" w:after="100" w:line="240" w:lineRule="auto"/>
      <w:outlineLvl w:val="1"/>
    </w:pPr>
    <w:rPr>
      <w:rFonts w:ascii="Times New Roman" w:hAnsi="Times New Roman" w:cs="Times New Roman" w:eastAsia="Times New Roman"/>
      <w:b/>
      <w:bCs/>
      <w:color w:val="173B67"/>
      <w:sz w:val="25"/>
      <w:szCs w:val="26"/>
    </w:rPr>
  </w:style>
  <w:style w:type="paragraph" w:styleId="Heading3">
    <w:name w:val="heading 3"/>
    <w:basedOn w:val="Normal"/>
    <w:next w:val="Normal"/>
    <w:link w:val="Heading3Char"/>
    <w:uiPriority w:val="9"/>
    <w:unhideWhenUsed/>
    <w:qFormat/>
    <w:rsid w:val="00FC693F"/>
    <w:pPr>
      <w:keepNext/>
      <w:keepLines/>
      <w:spacing w:before="160" w:after="100" w:line="240" w:lineRule="auto"/>
      <w:outlineLvl w:val="2"/>
    </w:pPr>
    <w:rPr>
      <w:rFonts w:ascii="Times New Roman" w:hAnsi="Times New Roman" w:cs="Times New Roman" w:eastAsia="Times New Roman"/>
      <w:b/>
      <w:bCs/>
      <w:color w:val="173B6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imes New Roman" w:hAnsi="Times New Roman" w:cs="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cs="Times New Roman" w:eastAsia="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Times New Roman" w:hAnsi="Times New Roman" w:cs="Times New Roman" w:eastAsia="Times New Roman"/>
    </w:rPr>
  </w:style>
  <w:style w:type="paragraph" w:styleId="ListBullet2">
    <w:name w:val="List Bullet 2"/>
    <w:basedOn w:val="Normal"/>
    <w:uiPriority w:val="99"/>
    <w:unhideWhenUsed/>
    <w:rsid w:val="00326F90"/>
    <w:pPr>
      <w:numPr>
        <w:numId w:val="2"/>
      </w:numPr>
      <w:spacing w:after="60"/>
      <w:contextualSpacing/>
    </w:pPr>
    <w:rPr>
      <w:rFonts w:ascii="Times New Roman" w:hAnsi="Times New Roman" w:cs="Times New Roman" w:eastAsia="Times New Roman"/>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Times New Roman" w:hAnsi="Times New Roman" w:cs="Times New Roman" w:eastAsia="Times New Roman"/>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0563C1"/>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negotiation.site/" TargetMode="External"/><Relationship Id="rId10" Type="http://schemas.openxmlformats.org/officeDocument/2006/relationships/image" Target="media/image1.png"/><Relationship Id="rId11" Type="http://schemas.openxmlformats.org/officeDocument/2006/relationships/hyperlink" Target="https://www.negotiation.site/m10-simulation.html" TargetMode="External"/><Relationship Id="rId12" Type="http://schemas.openxmlformats.org/officeDocument/2006/relationships/image" Target="media/image2.pn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BMS5410 Learning Journal - From Price Bargaining to Prepared Adaptability</dc:title>
  <dc:subject>BMS5410 Negotiation and Conflict Management</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